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E1" w:rsidRDefault="00901F2C" w:rsidP="00D977E1">
      <w:pPr>
        <w:ind w:left="1100"/>
        <w:jc w:val="center"/>
        <w:rPr>
          <w:rFonts w:ascii="Arial" w:eastAsia="Arial" w:hAnsi="Arial" w:cs="Arial"/>
          <w:color w:val="002060"/>
          <w:sz w:val="28"/>
          <w:szCs w:val="28"/>
        </w:rPr>
      </w:pPr>
      <w:bookmarkStart w:id="0" w:name="page1"/>
      <w:bookmarkEnd w:id="0"/>
      <w:r>
        <w:rPr>
          <w:rFonts w:ascii="Arial" w:eastAsia="Arial" w:hAnsi="Arial" w:cs="Arial"/>
          <w:color w:val="002060"/>
          <w:sz w:val="28"/>
          <w:szCs w:val="28"/>
        </w:rPr>
        <w:t>S</w:t>
      </w:r>
      <w:r>
        <w:rPr>
          <w:rFonts w:ascii="Arial" w:eastAsia="Arial" w:hAnsi="Arial" w:cs="Arial"/>
          <w:color w:val="002060"/>
        </w:rPr>
        <w:t>CHEMA DI</w:t>
      </w:r>
      <w:r>
        <w:rPr>
          <w:rFonts w:ascii="Arial" w:eastAsia="Arial" w:hAnsi="Arial" w:cs="Arial"/>
          <w:color w:val="002060"/>
          <w:sz w:val="28"/>
          <w:szCs w:val="28"/>
        </w:rPr>
        <w:t xml:space="preserve"> P</w:t>
      </w:r>
      <w:r>
        <w:rPr>
          <w:rFonts w:ascii="Arial" w:eastAsia="Arial" w:hAnsi="Arial" w:cs="Arial"/>
          <w:color w:val="002060"/>
        </w:rPr>
        <w:t>IANO DEI CONTROLLI DEL</w:t>
      </w:r>
      <w:r>
        <w:rPr>
          <w:rFonts w:ascii="Arial" w:eastAsia="Arial" w:hAnsi="Arial" w:cs="Arial"/>
          <w:color w:val="002060"/>
          <w:sz w:val="28"/>
          <w:szCs w:val="28"/>
        </w:rPr>
        <w:t xml:space="preserve"> RPCT </w:t>
      </w:r>
    </w:p>
    <w:p w:rsidR="00D977E1" w:rsidRPr="00D977E1" w:rsidRDefault="00901F2C" w:rsidP="00D977E1">
      <w:pPr>
        <w:ind w:left="1100"/>
        <w:jc w:val="center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DELL</w:t>
      </w:r>
      <w:r>
        <w:rPr>
          <w:rFonts w:ascii="Arial" w:eastAsia="Arial" w:hAnsi="Arial" w:cs="Arial"/>
          <w:color w:val="002060"/>
          <w:sz w:val="28"/>
          <w:szCs w:val="28"/>
        </w:rPr>
        <w:t>’O</w:t>
      </w:r>
      <w:r>
        <w:rPr>
          <w:rFonts w:ascii="Arial" w:eastAsia="Arial" w:hAnsi="Arial" w:cs="Arial"/>
          <w:color w:val="002060"/>
        </w:rPr>
        <w:t xml:space="preserve">RDINE DEGLI INGEGNERI </w:t>
      </w:r>
      <w:r w:rsidR="00D977E1">
        <w:rPr>
          <w:rFonts w:ascii="Arial" w:eastAsia="Arial" w:hAnsi="Arial" w:cs="Arial"/>
          <w:color w:val="002060"/>
        </w:rPr>
        <w:t xml:space="preserve">DELLA PROVINCIA DI </w:t>
      </w:r>
      <w:r w:rsidR="00D977E1" w:rsidRPr="00D977E1">
        <w:rPr>
          <w:rFonts w:ascii="Arial" w:eastAsia="Arial" w:hAnsi="Arial" w:cs="Arial"/>
          <w:color w:val="002060"/>
          <w:sz w:val="28"/>
          <w:szCs w:val="28"/>
        </w:rPr>
        <w:t>M</w:t>
      </w:r>
      <w:r w:rsidR="00D977E1" w:rsidRPr="00D977E1">
        <w:rPr>
          <w:rFonts w:ascii="Arial" w:eastAsia="Arial" w:hAnsi="Arial" w:cs="Arial"/>
          <w:color w:val="002060"/>
        </w:rPr>
        <w:t>ODENA</w:t>
      </w:r>
    </w:p>
    <w:p w:rsidR="00952DAC" w:rsidRDefault="00901F2C" w:rsidP="00D977E1">
      <w:pPr>
        <w:ind w:left="110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060"/>
        </w:rPr>
        <w:t>PER L</w:t>
      </w:r>
      <w:r>
        <w:rPr>
          <w:rFonts w:ascii="Arial" w:eastAsia="Arial" w:hAnsi="Arial" w:cs="Arial"/>
          <w:color w:val="002060"/>
          <w:sz w:val="28"/>
          <w:szCs w:val="28"/>
        </w:rPr>
        <w:t>’</w:t>
      </w:r>
      <w:r>
        <w:rPr>
          <w:rFonts w:ascii="Arial" w:eastAsia="Arial" w:hAnsi="Arial" w:cs="Arial"/>
          <w:color w:val="002060"/>
        </w:rPr>
        <w:t>ANNO</w:t>
      </w:r>
      <w:r w:rsidR="00672E57">
        <w:rPr>
          <w:rFonts w:ascii="Arial" w:eastAsia="Arial" w:hAnsi="Arial" w:cs="Arial"/>
          <w:color w:val="002060"/>
          <w:sz w:val="28"/>
          <w:szCs w:val="28"/>
        </w:rPr>
        <w:t xml:space="preserve"> 20</w:t>
      </w:r>
      <w:r w:rsidR="001413E0">
        <w:rPr>
          <w:rFonts w:ascii="Arial" w:eastAsia="Arial" w:hAnsi="Arial" w:cs="Arial"/>
          <w:color w:val="002060"/>
          <w:sz w:val="28"/>
          <w:szCs w:val="28"/>
        </w:rPr>
        <w:t>20</w:t>
      </w:r>
    </w:p>
    <w:p w:rsidR="00952DAC" w:rsidRDefault="00952DAC">
      <w:pPr>
        <w:spacing w:line="66" w:lineRule="exact"/>
        <w:rPr>
          <w:sz w:val="24"/>
          <w:szCs w:val="24"/>
        </w:rPr>
      </w:pPr>
    </w:p>
    <w:p w:rsidR="00952DAC" w:rsidRDefault="00672E57">
      <w:pPr>
        <w:ind w:left="5960"/>
        <w:rPr>
          <w:sz w:val="20"/>
          <w:szCs w:val="20"/>
        </w:rPr>
      </w:pPr>
      <w:r>
        <w:rPr>
          <w:rFonts w:ascii="Arial" w:eastAsia="Arial" w:hAnsi="Arial" w:cs="Arial"/>
          <w:color w:val="002060"/>
          <w:sz w:val="28"/>
          <w:szCs w:val="28"/>
        </w:rPr>
        <w:t>PTPC 20</w:t>
      </w:r>
      <w:r w:rsidR="001413E0">
        <w:rPr>
          <w:rFonts w:ascii="Arial" w:eastAsia="Arial" w:hAnsi="Arial" w:cs="Arial"/>
          <w:color w:val="002060"/>
          <w:sz w:val="28"/>
          <w:szCs w:val="28"/>
        </w:rPr>
        <w:t>20</w:t>
      </w:r>
      <w:r>
        <w:rPr>
          <w:rFonts w:ascii="Arial" w:eastAsia="Arial" w:hAnsi="Arial" w:cs="Arial"/>
          <w:color w:val="002060"/>
          <w:sz w:val="28"/>
          <w:szCs w:val="28"/>
        </w:rPr>
        <w:t xml:space="preserve"> – 202</w:t>
      </w:r>
      <w:r w:rsidR="001413E0">
        <w:rPr>
          <w:rFonts w:ascii="Arial" w:eastAsia="Arial" w:hAnsi="Arial" w:cs="Arial"/>
          <w:color w:val="002060"/>
          <w:sz w:val="28"/>
          <w:szCs w:val="28"/>
        </w:rPr>
        <w:t>2</w:t>
      </w:r>
      <w:bookmarkStart w:id="1" w:name="_GoBack"/>
      <w:bookmarkEnd w:id="1"/>
    </w:p>
    <w:p w:rsidR="00952DAC" w:rsidRDefault="00952DAC">
      <w:pPr>
        <w:spacing w:line="2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320"/>
        <w:gridCol w:w="140"/>
        <w:gridCol w:w="8100"/>
        <w:gridCol w:w="120"/>
        <w:gridCol w:w="2980"/>
        <w:gridCol w:w="30"/>
      </w:tblGrid>
      <w:tr w:rsidR="00952DAC">
        <w:trPr>
          <w:trHeight w:val="27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01F2C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TEMPISTICA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7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shd w:val="clear" w:color="auto" w:fill="BFBFBF"/>
            <w:vAlign w:val="bottom"/>
          </w:tcPr>
          <w:p w:rsidR="00952DAC" w:rsidRDefault="00901F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REA DI CONTROLLO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BFBFBF"/>
            <w:vAlign w:val="bottom"/>
          </w:tcPr>
          <w:p w:rsidR="00952DAC" w:rsidRDefault="00901F2C">
            <w:pPr>
              <w:ind w:left="3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ONTROLLO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3320" w:type="dxa"/>
            <w:shd w:val="clear" w:color="auto" w:fill="E2EFD9"/>
            <w:vAlign w:val="bottom"/>
          </w:tcPr>
          <w:p w:rsidR="00952DAC" w:rsidRDefault="00952DAC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Sezione “Amministrazione trasparente” </w:t>
            </w:r>
            <w:proofErr w:type="gramStart"/>
            <w:r>
              <w:rPr>
                <w:rFonts w:ascii="Calibri" w:eastAsia="Calibri" w:hAnsi="Calibri" w:cs="Calibri"/>
              </w:rPr>
              <w:t>–  esistenza</w:t>
            </w:r>
            <w:proofErr w:type="gramEnd"/>
            <w:r>
              <w:rPr>
                <w:rFonts w:ascii="Calibri" w:eastAsia="Calibri" w:hAnsi="Calibri" w:cs="Calibri"/>
              </w:rPr>
              <w:t xml:space="preserve"> della sezione e  conformità  alla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semestrale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74"/>
        </w:trPr>
        <w:tc>
          <w:tcPr>
            <w:tcW w:w="100" w:type="dxa"/>
            <w:tcBorders>
              <w:left w:val="single" w:sz="8" w:space="0" w:color="auto"/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normativa</w:t>
            </w:r>
            <w:proofErr w:type="gramEnd"/>
            <w:r>
              <w:rPr>
                <w:rFonts w:ascii="Calibri" w:eastAsia="Calibri" w:hAnsi="Calibri" w:cs="Calibri"/>
              </w:rPr>
              <w:t xml:space="preserve"> di riferimento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3320" w:type="dxa"/>
            <w:shd w:val="clear" w:color="auto" w:fill="E2EFD9"/>
            <w:vAlign w:val="bottom"/>
          </w:tcPr>
          <w:p w:rsidR="00952DAC" w:rsidRDefault="00952DAC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Accesso  Civico</w:t>
            </w:r>
            <w:proofErr w:type="gramEnd"/>
            <w:r>
              <w:rPr>
                <w:rFonts w:ascii="Calibri" w:eastAsia="Calibri" w:hAnsi="Calibri" w:cs="Calibri"/>
              </w:rPr>
              <w:t xml:space="preserve">  generalizzato  –  inserimento  informazioni  sul  sito  istituzionale/sez.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semestrale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74"/>
        </w:trPr>
        <w:tc>
          <w:tcPr>
            <w:tcW w:w="100" w:type="dxa"/>
            <w:tcBorders>
              <w:left w:val="single" w:sz="8" w:space="0" w:color="auto"/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amministrazione</w:t>
            </w:r>
            <w:proofErr w:type="gramEnd"/>
            <w:r>
              <w:rPr>
                <w:rFonts w:ascii="Calibri" w:eastAsia="Calibri" w:hAnsi="Calibri" w:cs="Calibri"/>
              </w:rPr>
              <w:t xml:space="preserve"> trasparente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140" w:type="dxa"/>
            <w:tcBorders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Aggiornamento dati ex art. 22 D.lgs. 33/2013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3320" w:type="dxa"/>
            <w:vMerge w:val="restart"/>
            <w:shd w:val="clear" w:color="auto" w:fill="E2EFD9"/>
            <w:vAlign w:val="bottom"/>
          </w:tcPr>
          <w:p w:rsidR="00952DAC" w:rsidRDefault="00901F2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Trasparenza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Inserimento link con soggetti vigilati, controllati e partecipati di cui all’art. 22 D.lgs.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10"/>
                <w:szCs w:val="10"/>
              </w:rPr>
            </w:pPr>
          </w:p>
        </w:tc>
        <w:tc>
          <w:tcPr>
            <w:tcW w:w="3320" w:type="dxa"/>
            <w:vMerge/>
            <w:shd w:val="clear" w:color="auto" w:fill="E2EFD9"/>
            <w:vAlign w:val="bottom"/>
          </w:tcPr>
          <w:p w:rsidR="00952DAC" w:rsidRDefault="00952DA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vMerge w:val="restart"/>
            <w:vAlign w:val="bottom"/>
          </w:tcPr>
          <w:p w:rsidR="00952DAC" w:rsidRDefault="00901F2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33/2013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154"/>
        </w:trPr>
        <w:tc>
          <w:tcPr>
            <w:tcW w:w="100" w:type="dxa"/>
            <w:tcBorders>
              <w:left w:val="single" w:sz="8" w:space="0" w:color="auto"/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13"/>
                <w:szCs w:val="13"/>
              </w:rPr>
            </w:pPr>
          </w:p>
        </w:tc>
        <w:tc>
          <w:tcPr>
            <w:tcW w:w="3320" w:type="dxa"/>
            <w:tcBorders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13"/>
                <w:szCs w:val="13"/>
              </w:rPr>
            </w:pPr>
          </w:p>
        </w:tc>
        <w:tc>
          <w:tcPr>
            <w:tcW w:w="8100" w:type="dxa"/>
            <w:vMerge/>
            <w:tcBorders>
              <w:bottom w:val="single" w:sz="8" w:space="0" w:color="auto"/>
            </w:tcBorders>
            <w:vAlign w:val="bottom"/>
          </w:tcPr>
          <w:p w:rsidR="00952DAC" w:rsidRDefault="00952DA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3320" w:type="dxa"/>
            <w:shd w:val="clear" w:color="auto" w:fill="E2EFD9"/>
            <w:vAlign w:val="bottom"/>
          </w:tcPr>
          <w:p w:rsidR="00952DAC" w:rsidRDefault="00952DAC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Contributi e sovvenzioni – pubblicazione di criteri e modalità cui l’ente si attiene per la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6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concessione</w:t>
            </w:r>
            <w:proofErr w:type="gramEnd"/>
            <w:r>
              <w:rPr>
                <w:rFonts w:ascii="Calibri" w:eastAsia="Calibri" w:hAnsi="Calibri" w:cs="Calibri"/>
              </w:rPr>
              <w:t xml:space="preserve"> di sovvenzioni, contributi, sussidi e ausili finanziari e per l’attribuzione di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71"/>
        </w:trPr>
        <w:tc>
          <w:tcPr>
            <w:tcW w:w="100" w:type="dxa"/>
            <w:tcBorders>
              <w:left w:val="single" w:sz="8" w:space="0" w:color="auto"/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vantaggi</w:t>
            </w:r>
            <w:proofErr w:type="gramEnd"/>
            <w:r>
              <w:rPr>
                <w:rFonts w:ascii="Calibri" w:eastAsia="Calibri" w:hAnsi="Calibri" w:cs="Calibri"/>
              </w:rPr>
              <w:t xml:space="preserve"> economici di qualunque genere a persone ed enti pubblici e privati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61"/>
        </w:trPr>
        <w:tc>
          <w:tcPr>
            <w:tcW w:w="100" w:type="dxa"/>
            <w:tcBorders>
              <w:left w:val="single" w:sz="8" w:space="0" w:color="auto"/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E2EFD9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140" w:type="dxa"/>
            <w:tcBorders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Contributi e sovvenzioni – pubblicazione di erogazioni superiore ad Euro 1000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/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Verifica pubblicazione bilancio preventivo e consuntivo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semestrale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6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CB9CA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shd w:val="clear" w:color="auto" w:fill="ACB9CA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CB9CA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Adozione Codice – verifica pubblicazione codice e delibera di adozione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60"/>
        </w:trPr>
        <w:tc>
          <w:tcPr>
            <w:tcW w:w="100" w:type="dxa"/>
            <w:tcBorders>
              <w:left w:val="single" w:sz="8" w:space="0" w:color="auto"/>
              <w:bottom w:val="single" w:sz="8" w:space="0" w:color="ACB9CA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ACB9CA"/>
            </w:tcBorders>
            <w:shd w:val="clear" w:color="auto" w:fill="ACB9CA"/>
            <w:vAlign w:val="bottom"/>
          </w:tcPr>
          <w:p w:rsidR="00952DAC" w:rsidRDefault="00901F2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Codice specifico dei Dipendenti</w:t>
            </w:r>
          </w:p>
        </w:tc>
        <w:tc>
          <w:tcPr>
            <w:tcW w:w="140" w:type="dxa"/>
            <w:tcBorders>
              <w:bottom w:val="single" w:sz="8" w:space="0" w:color="ACB9CA"/>
              <w:right w:val="single" w:sz="8" w:space="0" w:color="auto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8100" w:type="dxa"/>
            <w:tcBorders>
              <w:bottom w:val="single" w:sz="8" w:space="0" w:color="auto"/>
            </w:tcBorders>
            <w:vAlign w:val="bottom"/>
          </w:tcPr>
          <w:p w:rsidR="00952DAC" w:rsidRDefault="00952DA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/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ACB9CA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ACB9CA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140" w:type="dxa"/>
            <w:tcBorders>
              <w:bottom w:val="single" w:sz="8" w:space="0" w:color="ACB9CA"/>
              <w:right w:val="single" w:sz="8" w:space="0" w:color="auto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Tutela del dipendente segnalante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 segnalazione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Ricezione regali o altra utilità in difformità dal Codice di comportamento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 segnalazione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3320" w:type="dxa"/>
            <w:shd w:val="clear" w:color="auto" w:fill="ACB9CA"/>
            <w:vAlign w:val="bottom"/>
          </w:tcPr>
          <w:p w:rsidR="00952DAC" w:rsidRDefault="00952DAC"/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CB9CA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Verifica dell’appartenenza di dipendenti ad associazioni i cui interessi sono coincidenti con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6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CB9CA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CB9CA"/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gli</w:t>
            </w:r>
            <w:proofErr w:type="gramEnd"/>
            <w:r>
              <w:rPr>
                <w:rFonts w:ascii="Calibri" w:eastAsia="Calibri" w:hAnsi="Calibri" w:cs="Calibri"/>
              </w:rPr>
              <w:t xml:space="preserve"> interessi tutelati dall’Ordine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8EAADB"/>
            </w:tcBorders>
            <w:shd w:val="clear" w:color="auto" w:fill="8EAADB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8EAADB"/>
            </w:tcBorders>
            <w:shd w:val="clear" w:color="auto" w:fill="8EAADB"/>
            <w:vAlign w:val="bottom"/>
          </w:tcPr>
          <w:p w:rsidR="00952DAC" w:rsidRDefault="00901F2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8EAADB"/>
              </w:rPr>
              <w:t>Incompatibilità ed inconferibilità</w:t>
            </w:r>
          </w:p>
        </w:tc>
        <w:tc>
          <w:tcPr>
            <w:tcW w:w="140" w:type="dxa"/>
            <w:tcBorders>
              <w:bottom w:val="single" w:sz="8" w:space="0" w:color="8EAADB"/>
              <w:right w:val="single" w:sz="8" w:space="0" w:color="auto"/>
            </w:tcBorders>
            <w:shd w:val="clear" w:color="auto" w:fill="8EAADB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Verifica esistenza delle autodichiarazioni di mancanza di inconferibilità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EAADB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8EAADB"/>
            <w:vAlign w:val="bottom"/>
          </w:tcPr>
          <w:p w:rsidR="00952DAC" w:rsidRDefault="00952DAC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EAADB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Verifica sussistenza condanne penali in capo agli esponenti dell’organo politico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52DAC" w:rsidRDefault="00952DAC"/>
        </w:tc>
        <w:tc>
          <w:tcPr>
            <w:tcW w:w="3320" w:type="dxa"/>
            <w:vMerge w:val="restart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52DAC" w:rsidRDefault="00901F2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Misure specifiche di prevenzione</w:t>
            </w:r>
          </w:p>
        </w:tc>
        <w:tc>
          <w:tcPr>
            <w:tcW w:w="140" w:type="dxa"/>
            <w:tcBorders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Verifica esistenza di procedura per la gestione dell’opinamento delle parcelle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4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52DAC" w:rsidRDefault="00952DAC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vMerge/>
            <w:shd w:val="clear" w:color="auto" w:fill="F4B083"/>
            <w:vAlign w:val="bottom"/>
          </w:tcPr>
          <w:p w:rsidR="00952DAC" w:rsidRDefault="00952DA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52DAC" w:rsidRDefault="00952DAC">
            <w:pPr>
              <w:rPr>
                <w:sz w:val="21"/>
                <w:szCs w:val="21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4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Verifica  esistenza</w:t>
            </w:r>
            <w:proofErr w:type="gramEnd"/>
            <w:r>
              <w:rPr>
                <w:rFonts w:ascii="Calibri" w:eastAsia="Calibri" w:hAnsi="Calibri" w:cs="Calibri"/>
              </w:rPr>
              <w:t xml:space="preserve">  procedura  per  gestire  l’individuazione  di  professionisti  per  lo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52DAC" w:rsidRDefault="00901F2C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semestrale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svolgimento</w:t>
            </w:r>
            <w:proofErr w:type="gramEnd"/>
            <w:r>
              <w:rPr>
                <w:rFonts w:ascii="Calibri" w:eastAsia="Calibri" w:hAnsi="Calibri" w:cs="Calibri"/>
              </w:rPr>
              <w:t xml:space="preserve"> di incarichi (su richiesta di terzi)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52D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  <w:tr w:rsidR="00952DAC">
        <w:trPr>
          <w:trHeight w:val="2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4B083"/>
            <w:vAlign w:val="bottom"/>
          </w:tcPr>
          <w:p w:rsidR="00952DAC" w:rsidRDefault="00952DAC"/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52DAC" w:rsidRDefault="00952DAC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52DAC" w:rsidRDefault="00952DAC"/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Verifica esistenza di procedura per individuazione eventi formativi da inserire nel POF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DAC" w:rsidRDefault="00901F2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Controllo annuale</w:t>
            </w:r>
          </w:p>
        </w:tc>
        <w:tc>
          <w:tcPr>
            <w:tcW w:w="0" w:type="dxa"/>
            <w:vAlign w:val="bottom"/>
          </w:tcPr>
          <w:p w:rsidR="00952DAC" w:rsidRDefault="00952DAC">
            <w:pPr>
              <w:rPr>
                <w:sz w:val="1"/>
                <w:szCs w:val="1"/>
              </w:rPr>
            </w:pPr>
          </w:p>
        </w:tc>
      </w:tr>
    </w:tbl>
    <w:p w:rsidR="00952DAC" w:rsidRDefault="00952DAC">
      <w:pPr>
        <w:spacing w:line="1" w:lineRule="exact"/>
        <w:rPr>
          <w:sz w:val="24"/>
          <w:szCs w:val="24"/>
        </w:rPr>
      </w:pPr>
    </w:p>
    <w:sectPr w:rsidR="00952DAC" w:rsidSect="00D977E1">
      <w:pgSz w:w="16840" w:h="11906" w:orient="landscape"/>
      <w:pgMar w:top="1107" w:right="2381" w:bottom="1440" w:left="1140" w:header="0" w:footer="0" w:gutter="0"/>
      <w:cols w:space="720" w:equalWidth="0">
        <w:col w:w="133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C"/>
    <w:rsid w:val="001413E0"/>
    <w:rsid w:val="00672E57"/>
    <w:rsid w:val="00901F2C"/>
    <w:rsid w:val="00952DAC"/>
    <w:rsid w:val="00B52FC6"/>
    <w:rsid w:val="00D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3C478-5EE9-5A48-A933-46023AE5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Stefano</cp:lastModifiedBy>
  <cp:revision>2</cp:revision>
  <dcterms:created xsi:type="dcterms:W3CDTF">2020-01-11T17:46:00Z</dcterms:created>
  <dcterms:modified xsi:type="dcterms:W3CDTF">2020-01-11T17:46:00Z</dcterms:modified>
</cp:coreProperties>
</file>