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EB" w:rsidRDefault="000E4F0E" w:rsidP="00E6196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w:t>
      </w:r>
      <w:r w:rsidR="00E61964" w:rsidRPr="00E61964">
        <w:rPr>
          <w:rFonts w:ascii="Times New Roman" w:eastAsia="Times New Roman" w:hAnsi="Times New Roman" w:cs="Times New Roman"/>
          <w:sz w:val="24"/>
          <w:szCs w:val="24"/>
          <w:lang w:eastAsia="it-IT"/>
        </w:rPr>
        <w:t xml:space="preserve">EGIO DECRETO 27 ottobre 1927, n. 2145 (in </w:t>
      </w:r>
      <w:proofErr w:type="spellStart"/>
      <w:r w:rsidR="00E61964" w:rsidRPr="00E61964">
        <w:rPr>
          <w:rFonts w:ascii="Times New Roman" w:eastAsia="Times New Roman" w:hAnsi="Times New Roman" w:cs="Times New Roman"/>
          <w:sz w:val="24"/>
          <w:szCs w:val="24"/>
          <w:lang w:eastAsia="it-IT"/>
        </w:rPr>
        <w:t>Gazz</w:t>
      </w:r>
      <w:proofErr w:type="spellEnd"/>
      <w:r w:rsidR="00E61964" w:rsidRPr="00E61964">
        <w:rPr>
          <w:rFonts w:ascii="Times New Roman" w:eastAsia="Times New Roman" w:hAnsi="Times New Roman" w:cs="Times New Roman"/>
          <w:sz w:val="24"/>
          <w:szCs w:val="24"/>
          <w:lang w:eastAsia="it-IT"/>
        </w:rPr>
        <w:t>. Uff., 30 novembre, n. 277).</w:t>
      </w:r>
    </w:p>
    <w:p w:rsidR="00E61964" w:rsidRPr="00E61964" w:rsidRDefault="00E61964" w:rsidP="00E61964">
      <w:pPr>
        <w:spacing w:before="100" w:beforeAutospacing="1" w:after="100" w:afterAutospacing="1" w:line="240" w:lineRule="auto"/>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 xml:space="preserve">Norme di coordinamento della legge e del regolamento sulle professioni di ingegnere e di architetto con la legge sui rapporti collettivi del lavoro, per ciò che riflette la tenuta dell'albo e la disciplina degli iscritti. </w:t>
      </w:r>
    </w:p>
    <w:p w:rsidR="00E61964" w:rsidRPr="00E61964" w:rsidRDefault="00E61964" w:rsidP="000E4F0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VITTORIO EMANUELE III</w:t>
      </w:r>
    </w:p>
    <w:p w:rsidR="00E61964" w:rsidRPr="00E61964" w:rsidRDefault="00E61964" w:rsidP="000E4F0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Per grazia di Dio e per volontà della Nazione</w:t>
      </w:r>
    </w:p>
    <w:p w:rsidR="00E61964" w:rsidRPr="00E61964" w:rsidRDefault="00E61964" w:rsidP="000E4F0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Re d'Italia</w:t>
      </w:r>
    </w:p>
    <w:p w:rsidR="00E61964" w:rsidRPr="00E61964" w:rsidRDefault="00E61964" w:rsidP="00E61964">
      <w:pPr>
        <w:spacing w:before="100" w:beforeAutospacing="1" w:after="100" w:afterAutospacing="1" w:line="240" w:lineRule="auto"/>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Vista la legge 24 giugno 1923, n. 1395, ed il regolamento approvato con r. decreto 23 ottobre 1925, n. 2537, sulla tutela del titolo e dell'esercizio delle professioni di ingegnere e di architetto;</w:t>
      </w:r>
    </w:p>
    <w:p w:rsidR="00E61964" w:rsidRPr="00E61964" w:rsidRDefault="00E61964" w:rsidP="00E61964">
      <w:pPr>
        <w:spacing w:before="100" w:beforeAutospacing="1" w:after="100" w:afterAutospacing="1" w:line="240" w:lineRule="auto"/>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Visti gli articoli 23 della legge 3 aprile 1926, n. 563, e 12 del r. decreto 1 luglio 1926, n. 1130, sulla disciplina giuridica dei rapporti collettivi del lavoro;</w:t>
      </w:r>
    </w:p>
    <w:p w:rsidR="00E61964" w:rsidRPr="00E61964" w:rsidRDefault="00E61964" w:rsidP="00E61964">
      <w:pPr>
        <w:spacing w:before="100" w:beforeAutospacing="1" w:after="100" w:afterAutospacing="1" w:line="240" w:lineRule="auto"/>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Visto il r. decreto 6 marzo 1927, n. 307;</w:t>
      </w:r>
    </w:p>
    <w:p w:rsidR="00E61964" w:rsidRPr="00E61964" w:rsidRDefault="00E61964" w:rsidP="00E61964">
      <w:pPr>
        <w:spacing w:before="100" w:beforeAutospacing="1" w:after="100" w:afterAutospacing="1" w:line="240" w:lineRule="auto"/>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Visto l'art. 3, n. 1, della legge 31 gennaio 1926, n. 100;</w:t>
      </w:r>
    </w:p>
    <w:p w:rsidR="00E61964" w:rsidRPr="00E61964" w:rsidRDefault="00E61964" w:rsidP="00E61964">
      <w:pPr>
        <w:spacing w:before="100" w:beforeAutospacing="1" w:after="100" w:afterAutospacing="1" w:line="240" w:lineRule="auto"/>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Udito il Consiglio dei ministri;</w:t>
      </w:r>
    </w:p>
    <w:p w:rsidR="00E61964" w:rsidRPr="00E61964" w:rsidRDefault="00E61964" w:rsidP="00E61964">
      <w:pPr>
        <w:spacing w:before="100" w:beforeAutospacing="1" w:after="100" w:afterAutospacing="1" w:line="240" w:lineRule="auto"/>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Sulla proposta del nostro Ministro segretario di Stato per la Giustizia e gli affari di culto, di concerto con i ministri segretari di Stato per l'Interno, per la Pubblica Istruzione, per i Lavori Pubblici e per le Corporazioni;</w:t>
      </w:r>
    </w:p>
    <w:p w:rsidR="00E61964" w:rsidRPr="00E61964" w:rsidRDefault="00E61964" w:rsidP="00E61964">
      <w:pPr>
        <w:spacing w:before="100" w:beforeAutospacing="1" w:after="100" w:afterAutospacing="1" w:line="240" w:lineRule="auto"/>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Abbiamo decretato e decretiamo:</w:t>
      </w:r>
    </w:p>
    <w:p w:rsidR="00E61964" w:rsidRPr="00E61964" w:rsidRDefault="00E61964" w:rsidP="00E61964">
      <w:pPr>
        <w:spacing w:after="0" w:line="240" w:lineRule="auto"/>
        <w:rPr>
          <w:rFonts w:ascii="Times New Roman" w:eastAsia="Times New Roman" w:hAnsi="Times New Roman" w:cs="Times New Roman"/>
          <w:sz w:val="24"/>
          <w:szCs w:val="24"/>
          <w:lang w:eastAsia="it-IT"/>
        </w:rPr>
      </w:pPr>
    </w:p>
    <w:p w:rsidR="00E61964" w:rsidRPr="00E61964" w:rsidRDefault="000E4F0E" w:rsidP="00E6196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ARTICOLO </w:t>
      </w:r>
      <w:r w:rsidR="00E61964" w:rsidRPr="00E61964">
        <w:rPr>
          <w:rFonts w:ascii="Times New Roman" w:eastAsia="Times New Roman" w:hAnsi="Times New Roman" w:cs="Times New Roman"/>
          <w:sz w:val="24"/>
          <w:szCs w:val="24"/>
          <w:lang w:eastAsia="it-IT"/>
        </w:rPr>
        <w:t xml:space="preserve">1 </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 xml:space="preserve">L'albo degli ingegneri è separato da quello degli architetti. </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Gli iscritti nell'albo degli ingegneri, i quali si trovino nelle condizioni indicate nell'</w:t>
      </w:r>
      <w:hyperlink r:id="rId4" w:history="1">
        <w:r w:rsidRPr="000E4F0E">
          <w:rPr>
            <w:rFonts w:ascii="Times New Roman" w:eastAsia="Times New Roman" w:hAnsi="Times New Roman" w:cs="Times New Roman"/>
            <w:sz w:val="24"/>
            <w:szCs w:val="24"/>
            <w:lang w:eastAsia="it-IT"/>
          </w:rPr>
          <w:t>art. 54</w:t>
        </w:r>
      </w:hyperlink>
      <w:r w:rsidRPr="00E61964">
        <w:rPr>
          <w:rFonts w:ascii="Times New Roman" w:eastAsia="Times New Roman" w:hAnsi="Times New Roman" w:cs="Times New Roman"/>
          <w:sz w:val="24"/>
          <w:szCs w:val="24"/>
          <w:lang w:eastAsia="it-IT"/>
        </w:rPr>
        <w:t xml:space="preserve"> del regolamento per le professioni di ingegnere e di architetto, approvato con </w:t>
      </w:r>
      <w:hyperlink r:id="rId5" w:history="1">
        <w:r w:rsidRPr="000E4F0E">
          <w:rPr>
            <w:rFonts w:ascii="Times New Roman" w:eastAsia="Times New Roman" w:hAnsi="Times New Roman" w:cs="Times New Roman"/>
            <w:sz w:val="24"/>
            <w:szCs w:val="24"/>
            <w:lang w:eastAsia="it-IT"/>
          </w:rPr>
          <w:t>r. decreto 23 ottobre 1925, n. 2537</w:t>
        </w:r>
      </w:hyperlink>
      <w:r w:rsidRPr="00E61964">
        <w:rPr>
          <w:rFonts w:ascii="Times New Roman" w:eastAsia="Times New Roman" w:hAnsi="Times New Roman" w:cs="Times New Roman"/>
          <w:sz w:val="24"/>
          <w:szCs w:val="24"/>
          <w:lang w:eastAsia="it-IT"/>
        </w:rPr>
        <w:t>, hanno diritto di compiere tutte le mansioni di spettanza della professione di architetto e possono ottenere perizie ed incarichi a questa relative, senza bisogno di essere iscritti anche nell'albo degli architetti. E' però in loro facoltà di chiedere l'iscrizione anche in questo albo.</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 xml:space="preserve">Egualmente gli iscritti nell'albo degli architetti, che si trovino nelle condizioni di cui nei capoversi del medesimo </w:t>
      </w:r>
      <w:hyperlink r:id="rId6" w:history="1">
        <w:r w:rsidRPr="000E4F0E">
          <w:rPr>
            <w:rFonts w:ascii="Times New Roman" w:eastAsia="Times New Roman" w:hAnsi="Times New Roman" w:cs="Times New Roman"/>
            <w:sz w:val="24"/>
            <w:szCs w:val="24"/>
            <w:lang w:eastAsia="it-IT"/>
          </w:rPr>
          <w:t>art. 54</w:t>
        </w:r>
      </w:hyperlink>
      <w:r w:rsidRPr="00E61964">
        <w:rPr>
          <w:rFonts w:ascii="Times New Roman" w:eastAsia="Times New Roman" w:hAnsi="Times New Roman" w:cs="Times New Roman"/>
          <w:sz w:val="24"/>
          <w:szCs w:val="24"/>
          <w:lang w:eastAsia="it-IT"/>
        </w:rPr>
        <w:t>, hanno facoltà di esercitare le mansioni ivi indicate, anche ai fini di perizie o di incarichi, senza diritto di iscrizione nell'albo degli ingegneri.</w:t>
      </w:r>
    </w:p>
    <w:p w:rsidR="00E61964" w:rsidRPr="00E61964" w:rsidRDefault="000E4F0E" w:rsidP="00E6196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ARTICOLO </w:t>
      </w:r>
      <w:r w:rsidR="00E61964" w:rsidRPr="00E61964">
        <w:rPr>
          <w:rFonts w:ascii="Times New Roman" w:eastAsia="Times New Roman" w:hAnsi="Times New Roman" w:cs="Times New Roman"/>
          <w:sz w:val="24"/>
          <w:szCs w:val="24"/>
          <w:lang w:eastAsia="it-IT"/>
        </w:rPr>
        <w:t xml:space="preserve">2 </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Le attribuzioni sulla custodia dell'albo degli ingegneri e degli architetti e sulla disciplina degli iscritti, deferite alle associazioni sindacali dall'</w:t>
      </w:r>
      <w:hyperlink r:id="rId7" w:history="1">
        <w:r w:rsidRPr="000E4F0E">
          <w:rPr>
            <w:rFonts w:ascii="Times New Roman" w:eastAsia="Times New Roman" w:hAnsi="Times New Roman" w:cs="Times New Roman"/>
            <w:sz w:val="24"/>
            <w:szCs w:val="24"/>
            <w:lang w:eastAsia="it-IT"/>
          </w:rPr>
          <w:t>r. decreto del 1 luglio 1926, n. 1130</w:t>
        </w:r>
      </w:hyperlink>
      <w:r w:rsidRPr="00E61964">
        <w:rPr>
          <w:rFonts w:ascii="Times New Roman" w:eastAsia="Times New Roman" w:hAnsi="Times New Roman" w:cs="Times New Roman"/>
          <w:sz w:val="24"/>
          <w:szCs w:val="24"/>
          <w:lang w:eastAsia="it-IT"/>
        </w:rPr>
        <w:t xml:space="preserve">, sono da esse esercitate a mezzo di una giunta composta di cinque membri, se il numero degli iscritti nell'albo non </w:t>
      </w:r>
      <w:r w:rsidRPr="00E61964">
        <w:rPr>
          <w:rFonts w:ascii="Times New Roman" w:eastAsia="Times New Roman" w:hAnsi="Times New Roman" w:cs="Times New Roman"/>
          <w:sz w:val="24"/>
          <w:szCs w:val="24"/>
          <w:lang w:eastAsia="it-IT"/>
        </w:rPr>
        <w:lastRenderedPageBreak/>
        <w:t>superi 200 , e di sette membri negli altri casi. Fanno parte della giunta anche due membri supplenti, che sostituiranno quelli effettivi in caso di assenza o di impedimento.</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I componenti della giunta devono essere iscritti nell'albo professionale. Essi sono nominati con decreto del Ministro per la Giustizia e gli affari di culto fra coloro che le competenti associazioni sindacali designeranno in numero doppio; durano in carica due anni e, scaduto il biennio, possono essere riconfermati.</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Qualora negli albi degli ingegneri o degli architetti delle nuove provincie si trovino iscritti tecnici menzionati nell'</w:t>
      </w:r>
      <w:hyperlink r:id="rId8" w:history="1">
        <w:r w:rsidRPr="000E4F0E">
          <w:rPr>
            <w:rFonts w:ascii="Times New Roman" w:eastAsia="Times New Roman" w:hAnsi="Times New Roman" w:cs="Times New Roman"/>
            <w:sz w:val="24"/>
            <w:szCs w:val="24"/>
            <w:lang w:eastAsia="it-IT"/>
          </w:rPr>
          <w:t>art. 74 del regolamento</w:t>
        </w:r>
      </w:hyperlink>
      <w:r w:rsidRPr="00E61964">
        <w:rPr>
          <w:rFonts w:ascii="Times New Roman" w:eastAsia="Times New Roman" w:hAnsi="Times New Roman" w:cs="Times New Roman"/>
          <w:sz w:val="24"/>
          <w:szCs w:val="24"/>
          <w:lang w:eastAsia="it-IT"/>
        </w:rPr>
        <w:t xml:space="preserve"> approvato con r. decreto 23 ottobre 1925, n. 2537, ovvero quelli indicati nel </w:t>
      </w:r>
      <w:hyperlink r:id="rId9" w:history="1">
        <w:r w:rsidRPr="000E4F0E">
          <w:rPr>
            <w:rFonts w:ascii="Times New Roman" w:eastAsia="Times New Roman" w:hAnsi="Times New Roman" w:cs="Times New Roman"/>
            <w:sz w:val="24"/>
            <w:szCs w:val="24"/>
            <w:lang w:eastAsia="it-IT"/>
          </w:rPr>
          <w:t>r. decreto 3 settembre 1926, n. 1660</w:t>
        </w:r>
      </w:hyperlink>
      <w:r w:rsidRPr="00E61964">
        <w:rPr>
          <w:rFonts w:ascii="Times New Roman" w:eastAsia="Times New Roman" w:hAnsi="Times New Roman" w:cs="Times New Roman"/>
          <w:sz w:val="24"/>
          <w:szCs w:val="24"/>
          <w:lang w:eastAsia="it-IT"/>
        </w:rPr>
        <w:t>, fa parte della giunta anche un membro dell'una o dell'altra di queste categorie.</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La giunta elegge nel suo seno il Presidente e il segretario. Essa decide a maggioranza; e, in caso di parità di voti, prevale quello del Presidente.</w:t>
      </w:r>
    </w:p>
    <w:p w:rsidR="00E61964" w:rsidRPr="00E61964" w:rsidRDefault="00E61964" w:rsidP="00E61964">
      <w:pPr>
        <w:spacing w:after="0" w:line="240" w:lineRule="auto"/>
        <w:rPr>
          <w:rFonts w:ascii="Times New Roman" w:eastAsia="Times New Roman" w:hAnsi="Times New Roman" w:cs="Times New Roman"/>
          <w:sz w:val="24"/>
          <w:szCs w:val="24"/>
          <w:lang w:eastAsia="it-IT"/>
        </w:rPr>
      </w:pPr>
    </w:p>
    <w:p w:rsidR="00E61964" w:rsidRPr="00E61964" w:rsidRDefault="00E61964" w:rsidP="00E61964">
      <w:pPr>
        <w:spacing w:after="0" w:line="240" w:lineRule="auto"/>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br/>
      </w:r>
    </w:p>
    <w:p w:rsidR="00E61964" w:rsidRPr="00E61964" w:rsidRDefault="000E4F0E" w:rsidP="00E6196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ARTICOLO </w:t>
      </w:r>
      <w:r w:rsidR="00E61964" w:rsidRPr="00E61964">
        <w:rPr>
          <w:rFonts w:ascii="Times New Roman" w:eastAsia="Times New Roman" w:hAnsi="Times New Roman" w:cs="Times New Roman"/>
          <w:sz w:val="24"/>
          <w:szCs w:val="24"/>
          <w:lang w:eastAsia="it-IT"/>
        </w:rPr>
        <w:t xml:space="preserve">3 </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 xml:space="preserve">Per le iscrizioni, cancellazioni e revisioni dell'albo, la giunta osserva le disposizioni del regolamento approvato con </w:t>
      </w:r>
      <w:hyperlink r:id="rId10" w:history="1">
        <w:r w:rsidRPr="000E4F0E">
          <w:rPr>
            <w:rFonts w:ascii="Times New Roman" w:eastAsia="Times New Roman" w:hAnsi="Times New Roman" w:cs="Times New Roman"/>
            <w:sz w:val="24"/>
            <w:szCs w:val="24"/>
            <w:lang w:eastAsia="it-IT"/>
          </w:rPr>
          <w:t>r. decreto 23 ottobre 1925, n. 2537</w:t>
        </w:r>
      </w:hyperlink>
      <w:r w:rsidRPr="00E61964">
        <w:rPr>
          <w:rFonts w:ascii="Times New Roman" w:eastAsia="Times New Roman" w:hAnsi="Times New Roman" w:cs="Times New Roman"/>
          <w:sz w:val="24"/>
          <w:szCs w:val="24"/>
          <w:lang w:eastAsia="it-IT"/>
        </w:rPr>
        <w:t>. Le norme dello stesso regolamento vanno osservate per quanto concerne i provvedimenti disciplinari.</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Non possono essere iscritti nell'albo, e qualora vi siano iscritti devono essere cancellati, coloro che abbiano svolto una pubblica attività in contraddizione con gli interessi della Nazione.</w:t>
      </w:r>
    </w:p>
    <w:p w:rsidR="00E61964" w:rsidRPr="00E61964" w:rsidRDefault="000E4F0E" w:rsidP="00E6196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ARTICOLO </w:t>
      </w:r>
      <w:r w:rsidR="00E61964" w:rsidRPr="00E61964">
        <w:rPr>
          <w:rFonts w:ascii="Times New Roman" w:eastAsia="Times New Roman" w:hAnsi="Times New Roman" w:cs="Times New Roman"/>
          <w:sz w:val="24"/>
          <w:szCs w:val="24"/>
          <w:lang w:eastAsia="it-IT"/>
        </w:rPr>
        <w:t xml:space="preserve">4 </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E61964">
        <w:rPr>
          <w:rFonts w:ascii="Times New Roman" w:eastAsia="Times New Roman" w:hAnsi="Times New Roman" w:cs="Times New Roman"/>
          <w:color w:val="000000" w:themeColor="text1"/>
          <w:sz w:val="24"/>
          <w:szCs w:val="24"/>
          <w:lang w:eastAsia="it-IT"/>
        </w:rPr>
        <w:t>Contro le decisioni delle giunte, così degli ingegneri, come degli architetti, è dato ricorso alla commissione centrale, di cui all'art. 14 del precitato regolamento, giusta le norme in esso stabilite. Con l'osservanza delle norme medesime il ricorso può essere proposto anche dal direttorio del sindacato nazionale, secondo la rispettiva competenza. Il direttorio può delegare uno dei suoi membri a presentare e sostenere il ricorso.</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E61964">
        <w:rPr>
          <w:rFonts w:ascii="Times New Roman" w:eastAsia="Times New Roman" w:hAnsi="Times New Roman" w:cs="Times New Roman"/>
          <w:color w:val="000000" w:themeColor="text1"/>
          <w:sz w:val="24"/>
          <w:szCs w:val="24"/>
          <w:lang w:eastAsia="it-IT"/>
        </w:rPr>
        <w:t xml:space="preserve">In sostituzione dei membri rappresentanti degli ordini degli ingegneri e degli architetti, contemplati nel comma 2/a, n. 4, del su citato </w:t>
      </w:r>
      <w:hyperlink r:id="rId11" w:history="1">
        <w:r w:rsidRPr="000E4F0E">
          <w:rPr>
            <w:rFonts w:ascii="Times New Roman" w:eastAsia="Times New Roman" w:hAnsi="Times New Roman" w:cs="Times New Roman"/>
            <w:color w:val="000000" w:themeColor="text1"/>
            <w:sz w:val="24"/>
            <w:szCs w:val="24"/>
            <w:lang w:eastAsia="it-IT"/>
          </w:rPr>
          <w:t>art. 14</w:t>
        </w:r>
      </w:hyperlink>
      <w:r w:rsidRPr="00E61964">
        <w:rPr>
          <w:rFonts w:ascii="Times New Roman" w:eastAsia="Times New Roman" w:hAnsi="Times New Roman" w:cs="Times New Roman"/>
          <w:color w:val="000000" w:themeColor="text1"/>
          <w:sz w:val="24"/>
          <w:szCs w:val="24"/>
          <w:lang w:eastAsia="it-IT"/>
        </w:rPr>
        <w:t>, fanno parte della commissione centrale quattro ingegneri e due architetti, nominati dal Ministro per i Lavori Pubblici, di concerto con quelli per la Giustizia e per le Corporazioni, e scelti fra coloro che ciascuno dei rispettivi sindacati nazionali designerà in numero doppio.</w:t>
      </w:r>
    </w:p>
    <w:p w:rsidR="00E61964" w:rsidRPr="00E61964" w:rsidRDefault="000E4F0E" w:rsidP="00E6196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ARTICOLO </w:t>
      </w:r>
      <w:r w:rsidR="00E61964" w:rsidRPr="00E61964">
        <w:rPr>
          <w:rFonts w:ascii="Times New Roman" w:eastAsia="Times New Roman" w:hAnsi="Times New Roman" w:cs="Times New Roman"/>
          <w:sz w:val="24"/>
          <w:szCs w:val="24"/>
          <w:lang w:eastAsia="it-IT"/>
        </w:rPr>
        <w:t xml:space="preserve">5 </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La giunta deve comunicare all'associazione sindacale i provvedimenti disciplinari presi contro i professionisti, che facciano anche parte dell'associazione sindacale, e questa deve comunicare alla giunta i provvedimenti adottati contro coloro che siano anche iscritti nell'albo.</w:t>
      </w:r>
    </w:p>
    <w:p w:rsidR="000E4F0E" w:rsidRDefault="000E4F0E" w:rsidP="00E61964">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E61964" w:rsidRPr="00E61964" w:rsidRDefault="000E4F0E" w:rsidP="00E6196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ARTICOLO </w:t>
      </w:r>
      <w:r w:rsidR="00E61964" w:rsidRPr="00E61964">
        <w:rPr>
          <w:rFonts w:ascii="Times New Roman" w:eastAsia="Times New Roman" w:hAnsi="Times New Roman" w:cs="Times New Roman"/>
          <w:sz w:val="24"/>
          <w:szCs w:val="24"/>
          <w:lang w:eastAsia="it-IT"/>
        </w:rPr>
        <w:t xml:space="preserve">6 </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L'albo professionale è distinto dal ruolo degli appartenenti alle associazioni sindacali. Esso, a cura della giunta, deve essere stampato e comunicato, a tenore dell'</w:t>
      </w:r>
      <w:hyperlink r:id="rId12" w:history="1">
        <w:r w:rsidRPr="000E4F0E">
          <w:rPr>
            <w:rFonts w:ascii="Times New Roman" w:eastAsia="Times New Roman" w:hAnsi="Times New Roman" w:cs="Times New Roman"/>
            <w:sz w:val="24"/>
            <w:szCs w:val="24"/>
            <w:lang w:eastAsia="it-IT"/>
          </w:rPr>
          <w:t>art. 23</w:t>
        </w:r>
      </w:hyperlink>
      <w:r w:rsidRPr="00E61964">
        <w:rPr>
          <w:rFonts w:ascii="Times New Roman" w:eastAsia="Times New Roman" w:hAnsi="Times New Roman" w:cs="Times New Roman"/>
          <w:sz w:val="24"/>
          <w:szCs w:val="24"/>
          <w:lang w:eastAsia="it-IT"/>
        </w:rPr>
        <w:t xml:space="preserve"> del regolamento approvato con </w:t>
      </w:r>
      <w:hyperlink r:id="rId13" w:history="1">
        <w:r w:rsidRPr="000E4F0E">
          <w:rPr>
            <w:rFonts w:ascii="Times New Roman" w:eastAsia="Times New Roman" w:hAnsi="Times New Roman" w:cs="Times New Roman"/>
            <w:sz w:val="24"/>
            <w:szCs w:val="24"/>
            <w:lang w:eastAsia="it-IT"/>
          </w:rPr>
          <w:t>r. decreto 23 ottobre 1925, n. 2537</w:t>
        </w:r>
      </w:hyperlink>
      <w:r w:rsidRPr="00E61964">
        <w:rPr>
          <w:rFonts w:ascii="Times New Roman" w:eastAsia="Times New Roman" w:hAnsi="Times New Roman" w:cs="Times New Roman"/>
          <w:sz w:val="24"/>
          <w:szCs w:val="24"/>
          <w:lang w:eastAsia="it-IT"/>
        </w:rPr>
        <w:t>.</w:t>
      </w:r>
    </w:p>
    <w:p w:rsidR="00E61964" w:rsidRPr="00E61964" w:rsidRDefault="000E4F0E" w:rsidP="00E6196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ARTICOLO </w:t>
      </w:r>
      <w:r w:rsidR="00E61964" w:rsidRPr="00E61964">
        <w:rPr>
          <w:rFonts w:ascii="Times New Roman" w:eastAsia="Times New Roman" w:hAnsi="Times New Roman" w:cs="Times New Roman"/>
          <w:sz w:val="24"/>
          <w:szCs w:val="24"/>
          <w:lang w:eastAsia="it-IT"/>
        </w:rPr>
        <w:t xml:space="preserve">7 </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 xml:space="preserve">Spetta alle associazioni sindacali, secondo la rispettiva competenza: </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A) di curare che siano repressi l'uso abusivo del titolo di ingegnere o di architetto e l'esercizio abusivo della professione, presentando, ove occorra, denuncia al procuratore del re;</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B) di compilare ogni triennio la tariffa professionale. Questa deve essere approvata dal Ministro per i Lavori Pubblici, di concerto col Ministro per la Giustizia, sentito il parere della commissione centrale;</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E61964">
        <w:rPr>
          <w:rFonts w:ascii="Times New Roman" w:eastAsia="Times New Roman" w:hAnsi="Times New Roman" w:cs="Times New Roman"/>
          <w:sz w:val="24"/>
          <w:szCs w:val="24"/>
          <w:lang w:eastAsia="it-IT"/>
        </w:rPr>
        <w:t xml:space="preserve">C) di determinare ed esigere </w:t>
      </w:r>
      <w:r w:rsidRPr="00E61964">
        <w:rPr>
          <w:rFonts w:ascii="Times New Roman" w:eastAsia="Times New Roman" w:hAnsi="Times New Roman" w:cs="Times New Roman"/>
          <w:color w:val="000000" w:themeColor="text1"/>
          <w:sz w:val="24"/>
          <w:szCs w:val="24"/>
          <w:lang w:eastAsia="it-IT"/>
        </w:rPr>
        <w:t>il contributo annuale da corrispondersi da ogni iscritto per quanto si attiene alle spese occorrenti per la tenuta dell'albo e la disciplina degli iscritti. Essa cura altresì la ripartizione e l'esazione del contributo, che verrà stabilito dalla commissione centrale per le spese del suo funzionamento, a norma dell'</w:t>
      </w:r>
      <w:hyperlink r:id="rId14" w:history="1">
        <w:r w:rsidRPr="000E4F0E">
          <w:rPr>
            <w:rFonts w:ascii="Times New Roman" w:eastAsia="Times New Roman" w:hAnsi="Times New Roman" w:cs="Times New Roman"/>
            <w:color w:val="000000" w:themeColor="text1"/>
            <w:sz w:val="24"/>
            <w:szCs w:val="24"/>
            <w:lang w:eastAsia="it-IT"/>
          </w:rPr>
          <w:t>art. 18 del regolamento</w:t>
        </w:r>
      </w:hyperlink>
      <w:r w:rsidRPr="00E61964">
        <w:rPr>
          <w:rFonts w:ascii="Times New Roman" w:eastAsia="Times New Roman" w:hAnsi="Times New Roman" w:cs="Times New Roman"/>
          <w:color w:val="000000" w:themeColor="text1"/>
          <w:sz w:val="24"/>
          <w:szCs w:val="24"/>
          <w:lang w:eastAsia="it-IT"/>
        </w:rPr>
        <w:t xml:space="preserve"> approvato con </w:t>
      </w:r>
      <w:hyperlink r:id="rId15" w:history="1">
        <w:r w:rsidRPr="000E4F0E">
          <w:rPr>
            <w:rFonts w:ascii="Times New Roman" w:eastAsia="Times New Roman" w:hAnsi="Times New Roman" w:cs="Times New Roman"/>
            <w:color w:val="000000" w:themeColor="text1"/>
            <w:sz w:val="24"/>
            <w:szCs w:val="24"/>
            <w:lang w:eastAsia="it-IT"/>
          </w:rPr>
          <w:t>r. decreto 23 ottobre 1925, numero 2537</w:t>
        </w:r>
      </w:hyperlink>
      <w:r w:rsidRPr="00E61964">
        <w:rPr>
          <w:rFonts w:ascii="Times New Roman" w:eastAsia="Times New Roman" w:hAnsi="Times New Roman" w:cs="Times New Roman"/>
          <w:color w:val="000000" w:themeColor="text1"/>
          <w:sz w:val="24"/>
          <w:szCs w:val="24"/>
          <w:lang w:eastAsia="it-IT"/>
        </w:rPr>
        <w:t>.</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L'associazione sindacale tiene distinta la contabilità relativa ai contributi, di cui al presente articolo, da quella dei contributi sindacali. Essa comunica alla giunta l'elenco dei soci morosi per i provvedimenti disciplinari, a termini dell'art. 50 del predetto regolamento.</w:t>
      </w:r>
    </w:p>
    <w:p w:rsidR="00E61964" w:rsidRPr="00E61964" w:rsidRDefault="000E4F0E" w:rsidP="00E6196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ARTICOLO </w:t>
      </w:r>
      <w:r w:rsidR="00E61964" w:rsidRPr="00E61964">
        <w:rPr>
          <w:rFonts w:ascii="Times New Roman" w:eastAsia="Times New Roman" w:hAnsi="Times New Roman" w:cs="Times New Roman"/>
          <w:sz w:val="24"/>
          <w:szCs w:val="24"/>
          <w:lang w:eastAsia="it-IT"/>
        </w:rPr>
        <w:t xml:space="preserve">8 </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Per tutto ciò che riguarda l'applicazione delle norme relative alle professioni di ingegnere e di architetto restano fermi i poteri di vigilanza del Ministro per la Giustizia, giusta l'</w:t>
      </w:r>
      <w:hyperlink r:id="rId16" w:history="1">
        <w:r w:rsidRPr="000E4F0E">
          <w:rPr>
            <w:rFonts w:ascii="Times New Roman" w:eastAsia="Times New Roman" w:hAnsi="Times New Roman" w:cs="Times New Roman"/>
            <w:sz w:val="24"/>
            <w:szCs w:val="24"/>
            <w:lang w:eastAsia="it-IT"/>
          </w:rPr>
          <w:t>art. 57 del regolamento</w:t>
        </w:r>
      </w:hyperlink>
      <w:r w:rsidRPr="00E61964">
        <w:rPr>
          <w:rFonts w:ascii="Times New Roman" w:eastAsia="Times New Roman" w:hAnsi="Times New Roman" w:cs="Times New Roman"/>
          <w:sz w:val="24"/>
          <w:szCs w:val="24"/>
          <w:lang w:eastAsia="it-IT"/>
        </w:rPr>
        <w:t xml:space="preserve"> approvato con </w:t>
      </w:r>
      <w:hyperlink r:id="rId17" w:history="1">
        <w:r w:rsidRPr="000E4F0E">
          <w:rPr>
            <w:rFonts w:ascii="Times New Roman" w:eastAsia="Times New Roman" w:hAnsi="Times New Roman" w:cs="Times New Roman"/>
            <w:sz w:val="24"/>
            <w:szCs w:val="24"/>
            <w:lang w:eastAsia="it-IT"/>
          </w:rPr>
          <w:t>r. decreto 23 ottobre 1925, n. 2537</w:t>
        </w:r>
      </w:hyperlink>
      <w:r w:rsidRPr="00E61964">
        <w:rPr>
          <w:rFonts w:ascii="Times New Roman" w:eastAsia="Times New Roman" w:hAnsi="Times New Roman" w:cs="Times New Roman"/>
          <w:sz w:val="24"/>
          <w:szCs w:val="24"/>
          <w:lang w:eastAsia="it-IT"/>
        </w:rPr>
        <w:t>.</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Il Ministro per la Giustizia può, con suo decreto, sciogliere la giunta, ove questa, chiamata alla osservanza degli obblighi ad essa imposti, persista a violarli o a non adempierli, ovvero per altri gravi motivi. In tal caso le attribuzioni della giunta sono esercitate dal Presidente del tribunale o da un giudice da lui delegato, fino a che non sia provveduto alla nomina di una nuova giunta.</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Egualmente, nel caso di scioglimento del consiglio direttivo dell'associazione sindacale, il Ministro per la Giustizia ha facoltà di disporre, con suo decreto, che la giunta cessi di funzionare e che le sue attribuzioni siano esercitate dal Presidente del tribunale.</w:t>
      </w:r>
    </w:p>
    <w:p w:rsidR="00E61964" w:rsidRPr="00E61964" w:rsidRDefault="000E4F0E" w:rsidP="00E6196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ARTICOLO </w:t>
      </w:r>
      <w:r w:rsidR="00E61964" w:rsidRPr="00E61964">
        <w:rPr>
          <w:rFonts w:ascii="Times New Roman" w:eastAsia="Times New Roman" w:hAnsi="Times New Roman" w:cs="Times New Roman"/>
          <w:sz w:val="24"/>
          <w:szCs w:val="24"/>
          <w:lang w:eastAsia="it-IT"/>
        </w:rPr>
        <w:t xml:space="preserve">9 </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Il Ministro per la Giustizia, d'intesa col Ministro per le Corporazioni, stabilirà, con suo decreto, la data da cui incominceranno a funzionare le giunte menzionate nell'</w:t>
      </w:r>
      <w:hyperlink r:id="rId18" w:history="1">
        <w:r w:rsidRPr="000E4F0E">
          <w:rPr>
            <w:rFonts w:ascii="Times New Roman" w:eastAsia="Times New Roman" w:hAnsi="Times New Roman" w:cs="Times New Roman"/>
            <w:sz w:val="24"/>
            <w:szCs w:val="24"/>
            <w:lang w:eastAsia="it-IT"/>
          </w:rPr>
          <w:t>art. 2</w:t>
        </w:r>
      </w:hyperlink>
      <w:r w:rsidRPr="00E61964">
        <w:rPr>
          <w:rFonts w:ascii="Times New Roman" w:eastAsia="Times New Roman" w:hAnsi="Times New Roman" w:cs="Times New Roman"/>
          <w:sz w:val="24"/>
          <w:szCs w:val="24"/>
          <w:lang w:eastAsia="it-IT"/>
        </w:rPr>
        <w:t>.</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 xml:space="preserve">Fino a tale data la custodia dell'albo, che sino alla data medesima continua ad essere unico, rimane affidata al Presidente del tribunale. Egli, o un giudice da lui delegato, decide sulle domande di iscrizione nell'albo; provvede, altresì, d'ufficio o su richiesta del pubblico ministero, in ordine alla </w:t>
      </w:r>
      <w:r w:rsidRPr="00E61964">
        <w:rPr>
          <w:rFonts w:ascii="Times New Roman" w:eastAsia="Times New Roman" w:hAnsi="Times New Roman" w:cs="Times New Roman"/>
          <w:sz w:val="24"/>
          <w:szCs w:val="24"/>
          <w:lang w:eastAsia="it-IT"/>
        </w:rPr>
        <w:lastRenderedPageBreak/>
        <w:t>cancellazione dall'albo nel caso di perdita della cittadinanza Italiana o del godimento dei diritti civili, da qualunque titolo derivata, ovvero di condanna che costituisca impedimento alla iscrizione.</w:t>
      </w:r>
    </w:p>
    <w:p w:rsidR="00E61964" w:rsidRPr="00E61964" w:rsidRDefault="000E4F0E" w:rsidP="00E6196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ARTICOLO </w:t>
      </w:r>
      <w:r w:rsidR="00E61964" w:rsidRPr="00E61964">
        <w:rPr>
          <w:rFonts w:ascii="Times New Roman" w:eastAsia="Times New Roman" w:hAnsi="Times New Roman" w:cs="Times New Roman"/>
          <w:sz w:val="24"/>
          <w:szCs w:val="24"/>
          <w:lang w:eastAsia="it-IT"/>
        </w:rPr>
        <w:t xml:space="preserve">10 </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I provvedimenti, di cui all'articolo precedente, sono presi dal Presidente del tribunale o dal magistrato da lui delegato, sentito il parere di un ingegnere e di un architetto iscritti nell'albo, designati dalla rispettiva associazione sindacale. L'associazione designa anche un supplente per il caso di impedimento o di assenza.</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 xml:space="preserve">Quando alcuno dei suddetti </w:t>
      </w:r>
      <w:hyperlink r:id="rId19" w:history="1">
        <w:r w:rsidRPr="000E4F0E">
          <w:rPr>
            <w:rFonts w:ascii="Times New Roman" w:eastAsia="Times New Roman" w:hAnsi="Times New Roman" w:cs="Times New Roman"/>
            <w:sz w:val="24"/>
            <w:szCs w:val="24"/>
            <w:lang w:eastAsia="it-IT"/>
          </w:rPr>
          <w:t>r. decreto 23 ottobre 1925, n. 2537</w:t>
        </w:r>
      </w:hyperlink>
      <w:r w:rsidRPr="00E61964">
        <w:rPr>
          <w:rFonts w:ascii="Times New Roman" w:eastAsia="Times New Roman" w:hAnsi="Times New Roman" w:cs="Times New Roman"/>
          <w:sz w:val="24"/>
          <w:szCs w:val="24"/>
          <w:lang w:eastAsia="it-IT"/>
        </w:rPr>
        <w:t xml:space="preserve">, ovvero un tecnico, di cui al </w:t>
      </w:r>
      <w:hyperlink r:id="rId20" w:history="1">
        <w:r w:rsidRPr="000E4F0E">
          <w:rPr>
            <w:rFonts w:ascii="Times New Roman" w:eastAsia="Times New Roman" w:hAnsi="Times New Roman" w:cs="Times New Roman"/>
            <w:sz w:val="24"/>
            <w:szCs w:val="24"/>
            <w:lang w:eastAsia="it-IT"/>
          </w:rPr>
          <w:t>r. decreto 3 settembre 1926, n. 1660</w:t>
        </w:r>
      </w:hyperlink>
      <w:r w:rsidRPr="00E61964">
        <w:rPr>
          <w:rFonts w:ascii="Times New Roman" w:eastAsia="Times New Roman" w:hAnsi="Times New Roman" w:cs="Times New Roman"/>
          <w:sz w:val="24"/>
          <w:szCs w:val="24"/>
          <w:lang w:eastAsia="it-IT"/>
        </w:rPr>
        <w:t xml:space="preserve">, il Presidente del tribunale chiama a dare parere, in aggiunta all'ingegnere e all'architetto, un professionista iscritto nell'elenco menzionato nel citato </w:t>
      </w:r>
      <w:hyperlink r:id="rId21" w:history="1">
        <w:r w:rsidRPr="000E4F0E">
          <w:rPr>
            <w:rFonts w:ascii="Times New Roman" w:eastAsia="Times New Roman" w:hAnsi="Times New Roman" w:cs="Times New Roman"/>
            <w:sz w:val="24"/>
            <w:szCs w:val="24"/>
            <w:lang w:eastAsia="it-IT"/>
          </w:rPr>
          <w:t>art. 74, o</w:t>
        </w:r>
      </w:hyperlink>
      <w:r w:rsidRPr="00E61964">
        <w:rPr>
          <w:rFonts w:ascii="Times New Roman" w:eastAsia="Times New Roman" w:hAnsi="Times New Roman" w:cs="Times New Roman"/>
          <w:sz w:val="24"/>
          <w:szCs w:val="24"/>
          <w:lang w:eastAsia="it-IT"/>
        </w:rPr>
        <w:t xml:space="preserve">, rispettivamente, nel </w:t>
      </w:r>
      <w:hyperlink r:id="rId22" w:history="1">
        <w:r w:rsidRPr="000E4F0E">
          <w:rPr>
            <w:rFonts w:ascii="Times New Roman" w:eastAsia="Times New Roman" w:hAnsi="Times New Roman" w:cs="Times New Roman"/>
            <w:sz w:val="24"/>
            <w:szCs w:val="24"/>
            <w:lang w:eastAsia="it-IT"/>
          </w:rPr>
          <w:t>r. decreto 3 settembre 1926, n. 1660</w:t>
        </w:r>
      </w:hyperlink>
      <w:r w:rsidRPr="00E61964">
        <w:rPr>
          <w:rFonts w:ascii="Times New Roman" w:eastAsia="Times New Roman" w:hAnsi="Times New Roman" w:cs="Times New Roman"/>
          <w:sz w:val="24"/>
          <w:szCs w:val="24"/>
          <w:lang w:eastAsia="it-IT"/>
        </w:rPr>
        <w:t>.</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Contro i provvedimenti del Presidente del tribunale è dato ricorso alla commissione centrale.</w:t>
      </w:r>
    </w:p>
    <w:p w:rsidR="00E61964" w:rsidRPr="00E61964" w:rsidRDefault="000E4F0E" w:rsidP="00E6196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ARTICOLO </w:t>
      </w:r>
      <w:r w:rsidR="00E61964" w:rsidRPr="00E61964">
        <w:rPr>
          <w:rFonts w:ascii="Times New Roman" w:eastAsia="Times New Roman" w:hAnsi="Times New Roman" w:cs="Times New Roman"/>
          <w:sz w:val="24"/>
          <w:szCs w:val="24"/>
          <w:lang w:eastAsia="it-IT"/>
        </w:rPr>
        <w:t xml:space="preserve">11 </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 xml:space="preserve">Per tutto quanto non è previsto dal presente decreto si osservano, in quanto applicabili, le disposizioni della </w:t>
      </w:r>
      <w:hyperlink r:id="rId23" w:history="1">
        <w:r w:rsidRPr="000E4F0E">
          <w:rPr>
            <w:rFonts w:ascii="Times New Roman" w:eastAsia="Times New Roman" w:hAnsi="Times New Roman" w:cs="Times New Roman"/>
            <w:sz w:val="24"/>
            <w:szCs w:val="24"/>
            <w:lang w:eastAsia="it-IT"/>
          </w:rPr>
          <w:t>legge 24 giugno 1923, n. 1395</w:t>
        </w:r>
      </w:hyperlink>
      <w:r w:rsidRPr="00E61964">
        <w:rPr>
          <w:rFonts w:ascii="Times New Roman" w:eastAsia="Times New Roman" w:hAnsi="Times New Roman" w:cs="Times New Roman"/>
          <w:sz w:val="24"/>
          <w:szCs w:val="24"/>
          <w:lang w:eastAsia="it-IT"/>
        </w:rPr>
        <w:t xml:space="preserve">, e del relativo regolamento, approvato con </w:t>
      </w:r>
      <w:hyperlink r:id="rId24" w:history="1">
        <w:r w:rsidRPr="000E4F0E">
          <w:rPr>
            <w:rFonts w:ascii="Times New Roman" w:eastAsia="Times New Roman" w:hAnsi="Times New Roman" w:cs="Times New Roman"/>
            <w:sz w:val="24"/>
            <w:szCs w:val="24"/>
            <w:lang w:eastAsia="it-IT"/>
          </w:rPr>
          <w:t>r. decreto 23 ottobre 1925, n. 2537</w:t>
        </w:r>
      </w:hyperlink>
      <w:r w:rsidRPr="00E61964">
        <w:rPr>
          <w:rFonts w:ascii="Times New Roman" w:eastAsia="Times New Roman" w:hAnsi="Times New Roman" w:cs="Times New Roman"/>
          <w:sz w:val="24"/>
          <w:szCs w:val="24"/>
          <w:lang w:eastAsia="it-IT"/>
        </w:rPr>
        <w:t>.</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 xml:space="preserve">Con successivo regio decreto potranno essere emanate, ove sia il caso, le norme complementari, che si rendessero necessarie per l'ulteriore coordinamento della legge e del decreto suindicati con la </w:t>
      </w:r>
      <w:hyperlink r:id="rId25" w:history="1">
        <w:r w:rsidRPr="000E4F0E">
          <w:rPr>
            <w:rFonts w:ascii="Times New Roman" w:eastAsia="Times New Roman" w:hAnsi="Times New Roman" w:cs="Times New Roman"/>
            <w:sz w:val="24"/>
            <w:szCs w:val="24"/>
            <w:lang w:eastAsia="it-IT"/>
          </w:rPr>
          <w:t>legge 3 aprile 1926, n. 563</w:t>
        </w:r>
      </w:hyperlink>
      <w:r w:rsidRPr="00E61964">
        <w:rPr>
          <w:rFonts w:ascii="Times New Roman" w:eastAsia="Times New Roman" w:hAnsi="Times New Roman" w:cs="Times New Roman"/>
          <w:sz w:val="24"/>
          <w:szCs w:val="24"/>
          <w:lang w:eastAsia="it-IT"/>
        </w:rPr>
        <w:t xml:space="preserve">, e con il </w:t>
      </w:r>
      <w:hyperlink r:id="rId26" w:history="1">
        <w:r w:rsidRPr="000E4F0E">
          <w:rPr>
            <w:rFonts w:ascii="Times New Roman" w:eastAsia="Times New Roman" w:hAnsi="Times New Roman" w:cs="Times New Roman"/>
            <w:sz w:val="24"/>
            <w:szCs w:val="24"/>
            <w:lang w:eastAsia="it-IT"/>
          </w:rPr>
          <w:t>r. decreto 1 luglio 1926, n. 1130</w:t>
        </w:r>
      </w:hyperlink>
      <w:r w:rsidRPr="00E61964">
        <w:rPr>
          <w:rFonts w:ascii="Times New Roman" w:eastAsia="Times New Roman" w:hAnsi="Times New Roman" w:cs="Times New Roman"/>
          <w:sz w:val="24"/>
          <w:szCs w:val="24"/>
          <w:lang w:eastAsia="it-IT"/>
        </w:rPr>
        <w:t>, e con ogni altra legge dello Stato.</w:t>
      </w:r>
    </w:p>
    <w:p w:rsidR="00E61964" w:rsidRPr="00E61964" w:rsidRDefault="00E61964" w:rsidP="000E4F0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61964">
        <w:rPr>
          <w:rFonts w:ascii="Times New Roman" w:eastAsia="Times New Roman" w:hAnsi="Times New Roman" w:cs="Times New Roman"/>
          <w:sz w:val="24"/>
          <w:szCs w:val="24"/>
          <w:lang w:eastAsia="it-IT"/>
        </w:rPr>
        <w:t>Ordiniamo che il presente decreto, munito del sigillo dello Stato, sia inserto nella Raccolta Ufficiale delle leggi e dei decreti del Regno d'Italia, mandando a chiunque spetti di osservarlo e di farlo osservare.</w:t>
      </w:r>
    </w:p>
    <w:sectPr w:rsidR="00E61964" w:rsidRPr="00E61964" w:rsidSect="0082346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283"/>
  <w:characterSpacingControl w:val="doNotCompress"/>
  <w:compat/>
  <w:rsids>
    <w:rsidRoot w:val="00E61964"/>
    <w:rsid w:val="000E4F0E"/>
    <w:rsid w:val="00382153"/>
    <w:rsid w:val="004245EB"/>
    <w:rsid w:val="00823461"/>
    <w:rsid w:val="00E61964"/>
    <w:rsid w:val="00FA0F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34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r1">
    <w:name w:val="parar1"/>
    <w:basedOn w:val="Normale"/>
    <w:rsid w:val="00E619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videnziato">
    <w:name w:val="evidenziato"/>
    <w:basedOn w:val="Normale"/>
    <w:rsid w:val="00E619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E619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center">
    <w:name w:val="paracenter"/>
    <w:basedOn w:val="Normale"/>
    <w:rsid w:val="00E619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61964"/>
    <w:rPr>
      <w:color w:val="0000FF"/>
      <w:u w:val="single"/>
    </w:rPr>
  </w:style>
  <w:style w:type="paragraph" w:customStyle="1" w:styleId="parar2">
    <w:name w:val="parar2"/>
    <w:basedOn w:val="Normale"/>
    <w:rsid w:val="00E619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619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1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702296">
      <w:bodyDiv w:val="1"/>
      <w:marLeft w:val="0"/>
      <w:marRight w:val="0"/>
      <w:marTop w:val="0"/>
      <w:marBottom w:val="0"/>
      <w:divBdr>
        <w:top w:val="none" w:sz="0" w:space="0" w:color="auto"/>
        <w:left w:val="none" w:sz="0" w:space="0" w:color="auto"/>
        <w:bottom w:val="none" w:sz="0" w:space="0" w:color="auto"/>
        <w:right w:val="none" w:sz="0" w:space="0" w:color="auto"/>
      </w:divBdr>
      <w:divsChild>
        <w:div w:id="2144956878">
          <w:marLeft w:val="0"/>
          <w:marRight w:val="0"/>
          <w:marTop w:val="0"/>
          <w:marBottom w:val="0"/>
          <w:divBdr>
            <w:top w:val="none" w:sz="0" w:space="0" w:color="auto"/>
            <w:left w:val="none" w:sz="0" w:space="0" w:color="auto"/>
            <w:bottom w:val="none" w:sz="0" w:space="0" w:color="auto"/>
            <w:right w:val="none" w:sz="0" w:space="0" w:color="auto"/>
          </w:divBdr>
          <w:divsChild>
            <w:div w:id="1505508413">
              <w:marLeft w:val="0"/>
              <w:marRight w:val="0"/>
              <w:marTop w:val="0"/>
              <w:marBottom w:val="0"/>
              <w:divBdr>
                <w:top w:val="none" w:sz="0" w:space="0" w:color="auto"/>
                <w:left w:val="none" w:sz="0" w:space="0" w:color="auto"/>
                <w:bottom w:val="none" w:sz="0" w:space="0" w:color="auto"/>
                <w:right w:val="none" w:sz="0" w:space="0" w:color="auto"/>
              </w:divBdr>
              <w:divsChild>
                <w:div w:id="1268385154">
                  <w:marLeft w:val="0"/>
                  <w:marRight w:val="0"/>
                  <w:marTop w:val="0"/>
                  <w:marBottom w:val="0"/>
                  <w:divBdr>
                    <w:top w:val="none" w:sz="0" w:space="0" w:color="auto"/>
                    <w:left w:val="none" w:sz="0" w:space="0" w:color="auto"/>
                    <w:bottom w:val="none" w:sz="0" w:space="0" w:color="auto"/>
                    <w:right w:val="none" w:sz="0" w:space="0" w:color="auto"/>
                  </w:divBdr>
                  <w:divsChild>
                    <w:div w:id="1088767553">
                      <w:marLeft w:val="0"/>
                      <w:marRight w:val="0"/>
                      <w:marTop w:val="0"/>
                      <w:marBottom w:val="0"/>
                      <w:divBdr>
                        <w:top w:val="none" w:sz="0" w:space="0" w:color="auto"/>
                        <w:left w:val="none" w:sz="0" w:space="0" w:color="auto"/>
                        <w:bottom w:val="none" w:sz="0" w:space="0" w:color="auto"/>
                        <w:right w:val="none" w:sz="0" w:space="0" w:color="auto"/>
                      </w:divBdr>
                      <w:divsChild>
                        <w:div w:id="2005089793">
                          <w:marLeft w:val="0"/>
                          <w:marRight w:val="0"/>
                          <w:marTop w:val="0"/>
                          <w:marBottom w:val="0"/>
                          <w:divBdr>
                            <w:top w:val="none" w:sz="0" w:space="0" w:color="auto"/>
                            <w:left w:val="none" w:sz="0" w:space="0" w:color="auto"/>
                            <w:bottom w:val="none" w:sz="0" w:space="0" w:color="auto"/>
                            <w:right w:val="none" w:sz="0" w:space="0" w:color="auto"/>
                          </w:divBdr>
                          <w:divsChild>
                            <w:div w:id="1918586258">
                              <w:marLeft w:val="0"/>
                              <w:marRight w:val="0"/>
                              <w:marTop w:val="0"/>
                              <w:marBottom w:val="0"/>
                              <w:divBdr>
                                <w:top w:val="none" w:sz="0" w:space="0" w:color="auto"/>
                                <w:left w:val="none" w:sz="0" w:space="0" w:color="auto"/>
                                <w:bottom w:val="none" w:sz="0" w:space="0" w:color="auto"/>
                                <w:right w:val="none" w:sz="0" w:space="0" w:color="auto"/>
                              </w:divBdr>
                              <w:divsChild>
                                <w:div w:id="779033114">
                                  <w:marLeft w:val="0"/>
                                  <w:marRight w:val="0"/>
                                  <w:marTop w:val="0"/>
                                  <w:marBottom w:val="0"/>
                                  <w:divBdr>
                                    <w:top w:val="none" w:sz="0" w:space="0" w:color="auto"/>
                                    <w:left w:val="none" w:sz="0" w:space="0" w:color="auto"/>
                                    <w:bottom w:val="none" w:sz="0" w:space="0" w:color="auto"/>
                                    <w:right w:val="none" w:sz="0" w:space="0" w:color="auto"/>
                                  </w:divBdr>
                                  <w:divsChild>
                                    <w:div w:id="1648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778209">
          <w:marLeft w:val="0"/>
          <w:marRight w:val="0"/>
          <w:marTop w:val="0"/>
          <w:marBottom w:val="0"/>
          <w:divBdr>
            <w:top w:val="none" w:sz="0" w:space="0" w:color="auto"/>
            <w:left w:val="none" w:sz="0" w:space="0" w:color="auto"/>
            <w:bottom w:val="none" w:sz="0" w:space="0" w:color="auto"/>
            <w:right w:val="none" w:sz="0" w:space="0" w:color="auto"/>
          </w:divBdr>
          <w:divsChild>
            <w:div w:id="1241403584">
              <w:marLeft w:val="0"/>
              <w:marRight w:val="0"/>
              <w:marTop w:val="0"/>
              <w:marBottom w:val="0"/>
              <w:divBdr>
                <w:top w:val="none" w:sz="0" w:space="0" w:color="auto"/>
                <w:left w:val="none" w:sz="0" w:space="0" w:color="auto"/>
                <w:bottom w:val="none" w:sz="0" w:space="0" w:color="auto"/>
                <w:right w:val="none" w:sz="0" w:space="0" w:color="auto"/>
              </w:divBdr>
              <w:divsChild>
                <w:div w:id="548107508">
                  <w:marLeft w:val="0"/>
                  <w:marRight w:val="0"/>
                  <w:marTop w:val="525"/>
                  <w:marBottom w:val="0"/>
                  <w:divBdr>
                    <w:top w:val="none" w:sz="0" w:space="0" w:color="auto"/>
                    <w:left w:val="none" w:sz="0" w:space="0" w:color="auto"/>
                    <w:bottom w:val="none" w:sz="0" w:space="0" w:color="auto"/>
                    <w:right w:val="none" w:sz="0" w:space="0" w:color="auto"/>
                  </w:divBdr>
                </w:div>
                <w:div w:id="859514971">
                  <w:marLeft w:val="0"/>
                  <w:marRight w:val="0"/>
                  <w:marTop w:val="0"/>
                  <w:marBottom w:val="0"/>
                  <w:divBdr>
                    <w:top w:val="none" w:sz="0" w:space="0" w:color="auto"/>
                    <w:left w:val="none" w:sz="0" w:space="0" w:color="auto"/>
                    <w:bottom w:val="none" w:sz="0" w:space="0" w:color="auto"/>
                    <w:right w:val="none" w:sz="0" w:space="0" w:color="auto"/>
                  </w:divBdr>
                  <w:divsChild>
                    <w:div w:id="1905943308">
                      <w:marLeft w:val="0"/>
                      <w:marRight w:val="0"/>
                      <w:marTop w:val="0"/>
                      <w:marBottom w:val="0"/>
                      <w:divBdr>
                        <w:top w:val="none" w:sz="0" w:space="0" w:color="auto"/>
                        <w:left w:val="none" w:sz="0" w:space="0" w:color="auto"/>
                        <w:bottom w:val="none" w:sz="0" w:space="0" w:color="auto"/>
                        <w:right w:val="none" w:sz="0" w:space="0" w:color="auto"/>
                      </w:divBdr>
                    </w:div>
                    <w:div w:id="19803824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sexplorer.it/FontiNormative/ShowCurrentDocument?IdDocMaster=2203636&amp;IdUnitaDoc=6875734&amp;NVigUnitaDoc=1&amp;IdDatabanks=7&amp;Pagina=0" TargetMode="External"/><Relationship Id="rId13" Type="http://schemas.openxmlformats.org/officeDocument/2006/relationships/hyperlink" Target="http://www.iusexplorer.it/FontiNormative/ShowCurrentDocument?IdDocMaster=2203636&amp;IdUnitaDoc=6875539&amp;NVigUnitaDoc=1&amp;IdDatabanks=7&amp;Pagina=0" TargetMode="External"/><Relationship Id="rId18" Type="http://schemas.openxmlformats.org/officeDocument/2006/relationships/hyperlink" Target="http://www.iusexplorer.it/FontiNormative/ShowCurrentDocument?IdDocMaster=2205329&amp;IdUnitaDoc=6885888&amp;NVigUnitaDoc=1&amp;IdDatabanks=7&amp;Pagina=0" TargetMode="External"/><Relationship Id="rId26" Type="http://schemas.openxmlformats.org/officeDocument/2006/relationships/hyperlink" Target="http://www.iusexplorer.it/FontiNormative/ShowCurrentDocument?IdDocMaster=2204132&amp;IdUnitaDoc=6878874&amp;NVigUnitaDoc=1&amp;IdDatabanks=7&amp;Pagina=0" TargetMode="External"/><Relationship Id="rId3" Type="http://schemas.openxmlformats.org/officeDocument/2006/relationships/webSettings" Target="webSettings.xml"/><Relationship Id="rId21" Type="http://schemas.openxmlformats.org/officeDocument/2006/relationships/hyperlink" Target="http://www.iusexplorer.it/FontiNormative/ShowCurrentDocument?IdDocMaster=2205329&amp;IdUnitaDoc=6885882&amp;NVigUnitaDoc=1&amp;IdDatabanks=7&amp;Pagina=0" TargetMode="External"/><Relationship Id="rId7" Type="http://schemas.openxmlformats.org/officeDocument/2006/relationships/hyperlink" Target="http://www.iusexplorer.it/FontiNormative/ShowCurrentDocument?IdDocMaster=2204132&amp;IdUnitaDoc=6878874&amp;NVigUnitaDoc=1&amp;IdDatabanks=7&amp;Pagina=0" TargetMode="External"/><Relationship Id="rId12" Type="http://schemas.openxmlformats.org/officeDocument/2006/relationships/hyperlink" Target="http://www.iusexplorer.it/FontiNormative/ShowCurrentDocument?IdDocMaster=2203636&amp;IdUnitaDoc=6875606&amp;NVigUnitaDoc=1&amp;IdDatabanks=7&amp;Pagina=0" TargetMode="External"/><Relationship Id="rId17" Type="http://schemas.openxmlformats.org/officeDocument/2006/relationships/hyperlink" Target="http://www.iusexplorer.it/FontiNormative/ShowCurrentDocument?IdDocMaster=2203636&amp;IdUnitaDoc=6875539&amp;NVigUnitaDoc=1&amp;IdDatabanks=7&amp;Pagina=0" TargetMode="External"/><Relationship Id="rId25" Type="http://schemas.openxmlformats.org/officeDocument/2006/relationships/hyperlink" Target="http://www.iusexplorer.it/FontiNormative/ShowCurrentDocument?IdDocMaster=2044169&amp;IdUnitaDoc=6196281&amp;NVigUnitaDoc=1&amp;IdDatabanks=7&amp;Pagina=0" TargetMode="External"/><Relationship Id="rId2" Type="http://schemas.openxmlformats.org/officeDocument/2006/relationships/settings" Target="settings.xml"/><Relationship Id="rId16" Type="http://schemas.openxmlformats.org/officeDocument/2006/relationships/hyperlink" Target="http://www.iusexplorer.it/FontiNormative/ShowCurrentDocument?IdDocMaster=2203636&amp;IdUnitaDoc=6875695&amp;NVigUnitaDoc=1&amp;IdDatabanks=7&amp;Pagina=0" TargetMode="External"/><Relationship Id="rId20" Type="http://schemas.openxmlformats.org/officeDocument/2006/relationships/hyperlink" Target="http://www.iusexplorer.it/FontiNormative/ShowCurrentDocument?IdDocMaster=2204305&amp;IdUnitaDoc=6879800&amp;NVigUnitaDoc=1&amp;IdDatabanks=7&amp;Pagina=0" TargetMode="External"/><Relationship Id="rId1" Type="http://schemas.openxmlformats.org/officeDocument/2006/relationships/styles" Target="styles.xml"/><Relationship Id="rId6" Type="http://schemas.openxmlformats.org/officeDocument/2006/relationships/hyperlink" Target="http://www.iusexplorer.it/FontiNormative/ShowCurrentDocument?IdDocMaster=2203636&amp;IdUnitaDoc=6875686&amp;NVigUnitaDoc=1&amp;IdDatabanks=7&amp;Pagina=0" TargetMode="External"/><Relationship Id="rId11" Type="http://schemas.openxmlformats.org/officeDocument/2006/relationships/hyperlink" Target="http://www.iusexplorer.it/FontiNormative/ShowCurrentDocument?IdDocMaster=2205329&amp;IdUnitaDoc=6885882&amp;NVigUnitaDoc=1&amp;IdDatabanks=7&amp;Pagina=0" TargetMode="External"/><Relationship Id="rId24" Type="http://schemas.openxmlformats.org/officeDocument/2006/relationships/hyperlink" Target="http://www.iusexplorer.it/FontiNormative/ShowCurrentDocument?IdDocMaster=2203636&amp;IdUnitaDoc=6875539&amp;NVigUnitaDoc=1&amp;IdDatabanks=7&amp;Pagina=0" TargetMode="External"/><Relationship Id="rId5" Type="http://schemas.openxmlformats.org/officeDocument/2006/relationships/hyperlink" Target="http://www.iusexplorer.it/FontiNormative/ShowCurrentDocument?IdDocMaster=2203636&amp;IdUnitaDoc=6875539&amp;NVigUnitaDoc=1&amp;IdDatabanks=7&amp;Pagina=0" TargetMode="External"/><Relationship Id="rId15" Type="http://schemas.openxmlformats.org/officeDocument/2006/relationships/hyperlink" Target="http://www.iusexplorer.it/FontiNormative/ShowCurrentDocument?IdDocMaster=2203636&amp;IdUnitaDoc=6875539&amp;NVigUnitaDoc=1&amp;IdDatabanks=7&amp;Pagina=0" TargetMode="External"/><Relationship Id="rId23" Type="http://schemas.openxmlformats.org/officeDocument/2006/relationships/hyperlink" Target="http://www.iusexplorer.it/FontiNormative/ShowCurrentDocument?IdDocMaster=2044142&amp;IdUnitaDoc=6195907&amp;NVigUnitaDoc=1&amp;IdDatabanks=7&amp;Pagina=0" TargetMode="External"/><Relationship Id="rId28" Type="http://schemas.openxmlformats.org/officeDocument/2006/relationships/theme" Target="theme/theme1.xml"/><Relationship Id="rId10" Type="http://schemas.openxmlformats.org/officeDocument/2006/relationships/hyperlink" Target="http://www.iusexplorer.it/FontiNormative/ShowCurrentDocument?IdDocMaster=2203636&amp;IdUnitaDoc=6875539&amp;NVigUnitaDoc=1&amp;IdDatabanks=7&amp;Pagina=0" TargetMode="External"/><Relationship Id="rId19" Type="http://schemas.openxmlformats.org/officeDocument/2006/relationships/hyperlink" Target="http://www.iusexplorer.it/FontiNormative/ShowCurrentDocument?IdDocMaster=2203636&amp;IdUnitaDoc=6875539&amp;NVigUnitaDoc=1&amp;IdDatabanks=7&amp;Pagina=0" TargetMode="External"/><Relationship Id="rId4" Type="http://schemas.openxmlformats.org/officeDocument/2006/relationships/hyperlink" Target="http://www.iusexplorer.it/FontiNormative/ShowCurrentDocument?IdDocMaster=2203636&amp;IdUnitaDoc=6875686&amp;NVigUnitaDoc=1&amp;IdDatabanks=7&amp;Pagina=0" TargetMode="External"/><Relationship Id="rId9" Type="http://schemas.openxmlformats.org/officeDocument/2006/relationships/hyperlink" Target="http://www.iusexplorer.it/FontiNormative/ShowCurrentDocument?IdDocMaster=2204305&amp;IdUnitaDoc=6879800&amp;NVigUnitaDoc=1&amp;IdDatabanks=7&amp;Pagina=0" TargetMode="External"/><Relationship Id="rId14" Type="http://schemas.openxmlformats.org/officeDocument/2006/relationships/hyperlink" Target="http://www.iusexplorer.it/FontiNormative/ShowCurrentDocument?IdDocMaster=2203636&amp;IdUnitaDoc=6875592&amp;NVigUnitaDoc=1&amp;IdDatabanks=7&amp;Pagina=0" TargetMode="External"/><Relationship Id="rId22" Type="http://schemas.openxmlformats.org/officeDocument/2006/relationships/hyperlink" Target="http://www.iusexplorer.it/FontiNormative/ShowCurrentDocument?IdDocMaster=2204305&amp;IdUnitaDoc=6879800&amp;NVigUnitaDoc=1&amp;IdDatabanks=7&amp;Pagina=0"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1944</Words>
  <Characters>11084</Characters>
  <Application>Microsoft Office Word</Application>
  <DocSecurity>0</DocSecurity>
  <Lines>92</Lines>
  <Paragraphs>26</Paragraphs>
  <ScaleCrop>false</ScaleCrop>
  <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Pellacani</dc:creator>
  <cp:lastModifiedBy>Fabio Pellacani</cp:lastModifiedBy>
  <cp:revision>4</cp:revision>
  <dcterms:created xsi:type="dcterms:W3CDTF">2015-10-29T12:04:00Z</dcterms:created>
  <dcterms:modified xsi:type="dcterms:W3CDTF">2015-10-29T12:38:00Z</dcterms:modified>
</cp:coreProperties>
</file>