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F850" w14:textId="319E36B1" w:rsidR="009F72EB" w:rsidRDefault="00000000" w:rsidP="0036498C">
      <w:pPr>
        <w:pStyle w:val="Titolo"/>
        <w:ind w:left="0" w:right="-336" w:firstLine="0"/>
        <w:jc w:val="center"/>
        <w:rPr>
          <w:b/>
        </w:rPr>
      </w:pPr>
      <w:r>
        <w:t>Verbale</w:t>
      </w:r>
      <w:r>
        <w:rPr>
          <w:spacing w:val="-9"/>
        </w:rPr>
        <w:t xml:space="preserve"> </w:t>
      </w:r>
      <w:r>
        <w:t>incontro</w:t>
      </w:r>
      <w:r>
        <w:rPr>
          <w:spacing w:val="-9"/>
        </w:rPr>
        <w:t xml:space="preserve"> </w:t>
      </w:r>
      <w:r>
        <w:t>della</w:t>
      </w:r>
      <w:r>
        <w:rPr>
          <w:spacing w:val="-9"/>
        </w:rPr>
        <w:t xml:space="preserve"> </w:t>
      </w:r>
      <w:r>
        <w:t>Commissione</w:t>
      </w:r>
      <w:r>
        <w:rPr>
          <w:spacing w:val="-9"/>
        </w:rPr>
        <w:t xml:space="preserve"> </w:t>
      </w:r>
      <w:r>
        <w:t>“</w:t>
      </w:r>
      <w:r w:rsidR="00F6002E">
        <w:t>Urbanistica, Trasporti e Mobilità</w:t>
      </w:r>
      <w:r>
        <w:t xml:space="preserve">” del </w:t>
      </w:r>
      <w:r w:rsidR="00F6002E">
        <w:rPr>
          <w:b/>
          <w:u w:val="single"/>
        </w:rPr>
        <w:t>27</w:t>
      </w:r>
      <w:r>
        <w:rPr>
          <w:b/>
          <w:u w:val="single"/>
        </w:rPr>
        <w:t>/</w:t>
      </w:r>
      <w:r w:rsidR="00F6002E">
        <w:rPr>
          <w:b/>
          <w:u w:val="single"/>
        </w:rPr>
        <w:t>12</w:t>
      </w:r>
      <w:r>
        <w:rPr>
          <w:b/>
          <w:u w:val="single"/>
        </w:rPr>
        <w:t>/</w:t>
      </w:r>
      <w:r w:rsidR="00F6002E">
        <w:rPr>
          <w:b/>
          <w:u w:val="single"/>
        </w:rPr>
        <w:t>2022</w:t>
      </w:r>
    </w:p>
    <w:p w14:paraId="1E0BDF65" w14:textId="77777777" w:rsidR="009F72EB" w:rsidRDefault="009F72EB">
      <w:pPr>
        <w:pStyle w:val="Corpotesto"/>
        <w:ind w:left="0"/>
        <w:rPr>
          <w:b/>
          <w:sz w:val="20"/>
        </w:rPr>
      </w:pPr>
    </w:p>
    <w:p w14:paraId="4885E05C" w14:textId="77777777" w:rsidR="009F72EB" w:rsidRDefault="009F72EB">
      <w:pPr>
        <w:pStyle w:val="Corpotesto"/>
        <w:spacing w:before="1"/>
        <w:ind w:left="0"/>
        <w:rPr>
          <w:b/>
        </w:rPr>
      </w:pPr>
    </w:p>
    <w:p w14:paraId="52FD0BE0" w14:textId="77777777" w:rsidR="009F72EB" w:rsidRDefault="00000000">
      <w:pPr>
        <w:pStyle w:val="Titolo1"/>
        <w:spacing w:before="91"/>
        <w:ind w:left="114"/>
        <w:jc w:val="left"/>
      </w:pPr>
      <w:r>
        <w:t>Ordine</w:t>
      </w:r>
      <w:r>
        <w:rPr>
          <w:spacing w:val="-7"/>
        </w:rPr>
        <w:t xml:space="preserve"> </w:t>
      </w:r>
      <w:r>
        <w:t>del</w:t>
      </w:r>
      <w:r>
        <w:rPr>
          <w:spacing w:val="-7"/>
        </w:rPr>
        <w:t xml:space="preserve"> </w:t>
      </w:r>
      <w:r>
        <w:rPr>
          <w:spacing w:val="-2"/>
        </w:rPr>
        <w:t>giorno</w:t>
      </w:r>
    </w:p>
    <w:p w14:paraId="50BD8423" w14:textId="77777777" w:rsidR="009F72EB" w:rsidRDefault="009F72EB">
      <w:pPr>
        <w:pStyle w:val="Corpotesto"/>
        <w:ind w:left="0"/>
        <w:rPr>
          <w:b/>
          <w:sz w:val="30"/>
        </w:rPr>
      </w:pPr>
    </w:p>
    <w:p w14:paraId="2FD30C42" w14:textId="1881ADB9" w:rsidR="00F6002E" w:rsidRPr="00F6002E" w:rsidRDefault="00F6002E" w:rsidP="00F6002E">
      <w:pPr>
        <w:pStyle w:val="Paragrafoelenco"/>
        <w:widowControl/>
        <w:numPr>
          <w:ilvl w:val="0"/>
          <w:numId w:val="1"/>
        </w:numPr>
        <w:shd w:val="clear" w:color="auto" w:fill="FFFFFF"/>
        <w:autoSpaceDE/>
        <w:autoSpaceDN/>
        <w:jc w:val="both"/>
        <w:rPr>
          <w:rFonts w:ascii="Verdana" w:eastAsia="Times New Roman" w:hAnsi="Verdana" w:cs="Times New Roman"/>
          <w:color w:val="26282A"/>
          <w:sz w:val="24"/>
          <w:szCs w:val="24"/>
          <w:lang w:eastAsia="it-IT"/>
        </w:rPr>
      </w:pPr>
      <w:r>
        <w:rPr>
          <w:rFonts w:ascii="Verdana" w:eastAsia="Times New Roman" w:hAnsi="Verdana" w:cs="Times New Roman"/>
          <w:color w:val="26282A"/>
          <w:sz w:val="24"/>
          <w:szCs w:val="24"/>
          <w:lang w:eastAsia="it-IT"/>
        </w:rPr>
        <w:t>E</w:t>
      </w:r>
      <w:r w:rsidRPr="00F6002E">
        <w:rPr>
          <w:rFonts w:ascii="Verdana" w:eastAsia="Times New Roman" w:hAnsi="Verdana" w:cs="Times New Roman"/>
          <w:color w:val="26282A"/>
          <w:sz w:val="24"/>
          <w:szCs w:val="24"/>
          <w:lang w:eastAsia="it-IT"/>
        </w:rPr>
        <w:t>same delle problematiche interpretative e applicative delle norme del P.U.G.</w:t>
      </w:r>
      <w:r>
        <w:rPr>
          <w:rFonts w:ascii="Verdana" w:eastAsia="Times New Roman" w:hAnsi="Verdana" w:cs="Times New Roman"/>
          <w:color w:val="26282A"/>
          <w:sz w:val="24"/>
          <w:szCs w:val="24"/>
          <w:lang w:eastAsia="it-IT"/>
        </w:rPr>
        <w:t xml:space="preserve"> adottato dal Comune di Modena</w:t>
      </w:r>
    </w:p>
    <w:p w14:paraId="4E8A08F5" w14:textId="49B2AB09" w:rsidR="00F6002E" w:rsidRPr="00F6002E" w:rsidRDefault="00F6002E" w:rsidP="00F6002E">
      <w:pPr>
        <w:pStyle w:val="Paragrafoelenco"/>
        <w:widowControl/>
        <w:numPr>
          <w:ilvl w:val="0"/>
          <w:numId w:val="1"/>
        </w:numPr>
        <w:shd w:val="clear" w:color="auto" w:fill="FFFFFF"/>
        <w:autoSpaceDE/>
        <w:autoSpaceDN/>
        <w:rPr>
          <w:rFonts w:ascii="Verdana" w:eastAsia="Times New Roman" w:hAnsi="Verdana" w:cs="Times New Roman"/>
          <w:color w:val="26282A"/>
          <w:sz w:val="24"/>
          <w:szCs w:val="24"/>
          <w:lang w:eastAsia="it-IT"/>
        </w:rPr>
      </w:pPr>
      <w:r w:rsidRPr="00F6002E">
        <w:rPr>
          <w:rFonts w:ascii="Verdana" w:eastAsia="Times New Roman" w:hAnsi="Verdana" w:cs="Times New Roman"/>
          <w:color w:val="26282A"/>
          <w:sz w:val="24"/>
          <w:szCs w:val="24"/>
          <w:lang w:eastAsia="it-IT"/>
        </w:rPr>
        <w:t>analisi delle novità introdotte dal R.E.</w:t>
      </w:r>
    </w:p>
    <w:p w14:paraId="208675B3" w14:textId="702F5010" w:rsidR="00F6002E" w:rsidRPr="00F6002E" w:rsidRDefault="00F6002E" w:rsidP="00F6002E">
      <w:pPr>
        <w:pStyle w:val="Paragrafoelenco"/>
        <w:widowControl/>
        <w:numPr>
          <w:ilvl w:val="0"/>
          <w:numId w:val="1"/>
        </w:numPr>
        <w:shd w:val="clear" w:color="auto" w:fill="FFFFFF"/>
        <w:autoSpaceDE/>
        <w:autoSpaceDN/>
        <w:jc w:val="both"/>
        <w:rPr>
          <w:rFonts w:ascii="Verdana" w:eastAsia="Times New Roman" w:hAnsi="Verdana" w:cs="Times New Roman"/>
          <w:color w:val="26282A"/>
          <w:sz w:val="24"/>
          <w:szCs w:val="24"/>
          <w:lang w:eastAsia="it-IT"/>
        </w:rPr>
      </w:pPr>
      <w:r>
        <w:rPr>
          <w:rFonts w:ascii="Verdana" w:eastAsia="Times New Roman" w:hAnsi="Verdana" w:cs="Times New Roman"/>
          <w:color w:val="26282A"/>
          <w:sz w:val="24"/>
          <w:szCs w:val="24"/>
          <w:lang w:eastAsia="it-IT"/>
        </w:rPr>
        <w:t>m</w:t>
      </w:r>
      <w:r w:rsidRPr="00F6002E">
        <w:rPr>
          <w:rFonts w:ascii="Verdana" w:eastAsia="Times New Roman" w:hAnsi="Verdana" w:cs="Times New Roman"/>
          <w:color w:val="26282A"/>
          <w:sz w:val="24"/>
          <w:szCs w:val="24"/>
          <w:lang w:eastAsia="it-IT"/>
        </w:rPr>
        <w:t>odalità di attivazione di uno sportello per l'assistenza tecnico-giuridica ai Professionisti</w:t>
      </w:r>
    </w:p>
    <w:p w14:paraId="3955DB5E" w14:textId="67C6AC16" w:rsidR="009F72EB" w:rsidRPr="00F6002E" w:rsidRDefault="00000000" w:rsidP="00F6002E">
      <w:pPr>
        <w:pStyle w:val="Paragrafoelenco"/>
        <w:numPr>
          <w:ilvl w:val="0"/>
          <w:numId w:val="1"/>
        </w:numPr>
        <w:tabs>
          <w:tab w:val="left" w:pos="540"/>
        </w:tabs>
        <w:ind w:left="539"/>
        <w:jc w:val="both"/>
        <w:rPr>
          <w:sz w:val="28"/>
        </w:rPr>
      </w:pPr>
      <w:r w:rsidRPr="00F6002E">
        <w:rPr>
          <w:sz w:val="28"/>
        </w:rPr>
        <w:t>Varie</w:t>
      </w:r>
      <w:r w:rsidRPr="00F6002E">
        <w:rPr>
          <w:spacing w:val="-5"/>
          <w:sz w:val="28"/>
        </w:rPr>
        <w:t xml:space="preserve"> </w:t>
      </w:r>
      <w:r w:rsidRPr="00F6002E">
        <w:rPr>
          <w:sz w:val="28"/>
        </w:rPr>
        <w:t>ed</w:t>
      </w:r>
      <w:r w:rsidRPr="00F6002E">
        <w:rPr>
          <w:spacing w:val="-6"/>
          <w:sz w:val="28"/>
        </w:rPr>
        <w:t xml:space="preserve"> </w:t>
      </w:r>
      <w:r w:rsidRPr="00F6002E">
        <w:rPr>
          <w:spacing w:val="-2"/>
          <w:sz w:val="28"/>
        </w:rPr>
        <w:t>eventuali.</w:t>
      </w:r>
    </w:p>
    <w:p w14:paraId="4BC4AC05" w14:textId="0832FB0E" w:rsidR="00F6002E" w:rsidRDefault="00F6002E" w:rsidP="00F6002E">
      <w:pPr>
        <w:tabs>
          <w:tab w:val="left" w:pos="540"/>
        </w:tabs>
        <w:jc w:val="both"/>
        <w:rPr>
          <w:sz w:val="28"/>
        </w:rPr>
      </w:pPr>
    </w:p>
    <w:p w14:paraId="2C883E95" w14:textId="103B43DB" w:rsidR="00540D6E" w:rsidRDefault="00634F64" w:rsidP="00540D6E">
      <w:pPr>
        <w:pStyle w:val="Paragrafoelenco"/>
        <w:numPr>
          <w:ilvl w:val="0"/>
          <w:numId w:val="2"/>
        </w:numPr>
        <w:tabs>
          <w:tab w:val="left" w:pos="540"/>
        </w:tabs>
        <w:ind w:left="284" w:hanging="142"/>
        <w:jc w:val="both"/>
        <w:rPr>
          <w:sz w:val="28"/>
        </w:rPr>
      </w:pPr>
      <w:r>
        <w:rPr>
          <w:sz w:val="28"/>
        </w:rPr>
        <w:t xml:space="preserve">- 3. </w:t>
      </w:r>
      <w:r w:rsidR="00F6002E" w:rsidRPr="00F6002E">
        <w:rPr>
          <w:sz w:val="28"/>
        </w:rPr>
        <w:t xml:space="preserve">Il Presidente e Consigliere referente illustra le difficoltà connesse alla discussione di un </w:t>
      </w:r>
      <w:r w:rsidR="00F6002E">
        <w:rPr>
          <w:sz w:val="28"/>
        </w:rPr>
        <w:t xml:space="preserve">P.U.G. ormai </w:t>
      </w:r>
      <w:proofErr w:type="spellStart"/>
      <w:r w:rsidR="00F6002E">
        <w:rPr>
          <w:sz w:val="28"/>
        </w:rPr>
        <w:t>controdedotto</w:t>
      </w:r>
      <w:proofErr w:type="spellEnd"/>
      <w:r w:rsidR="00F6002E">
        <w:rPr>
          <w:sz w:val="28"/>
        </w:rPr>
        <w:t xml:space="preserve"> senza il coinvolgimento degli Ordini nella definizione della griglia dei criteri di valutazione delle osservazioni. Il Coordinatore evidenzia, altresì, la difficoltà di lettura della nuova versione delle norme senza la preventiva pubblicazione del testo coordinato</w:t>
      </w:r>
      <w:r w:rsidR="00540D6E">
        <w:rPr>
          <w:sz w:val="28"/>
        </w:rPr>
        <w:t>. Viene ribadita la complessità di applicazione dei nuovi parametri urbanistico-edilizi, non più legati alle volumetrie ammesse, ma al grado di sostenibilità degli interventi, inteso come livello di coerenza degli stessi ed entità del beneficio pubblico apportato dal progetto alla collettività e al territorio. Emerge, inoltre, l’urgente necessità di costituire un tavolo congiunto con l’Ordine degli Architetti per valutare il P.U.G. adottato e di creare uno sportello permanente per l’assistenza tecnico-giuridica agli iscritti, diversamente costretti  alla formazione di lunghe code di attesa</w:t>
      </w:r>
      <w:r w:rsidR="00337BA6">
        <w:rPr>
          <w:sz w:val="28"/>
        </w:rPr>
        <w:t xml:space="preserve"> in via Santi per essere ricevuti dall’Ufficio Comunale di Piano.</w:t>
      </w:r>
    </w:p>
    <w:p w14:paraId="4CA6E04E" w14:textId="77777777" w:rsidR="0036498C" w:rsidRDefault="0036498C" w:rsidP="0036498C">
      <w:pPr>
        <w:pStyle w:val="Paragrafoelenco"/>
        <w:tabs>
          <w:tab w:val="left" w:pos="540"/>
        </w:tabs>
        <w:ind w:left="284" w:firstLine="0"/>
        <w:jc w:val="both"/>
        <w:rPr>
          <w:sz w:val="28"/>
        </w:rPr>
      </w:pPr>
    </w:p>
    <w:p w14:paraId="1AA837D2" w14:textId="32FA997C" w:rsidR="00337BA6" w:rsidRDefault="00337BA6" w:rsidP="00540D6E">
      <w:pPr>
        <w:pStyle w:val="Paragrafoelenco"/>
        <w:numPr>
          <w:ilvl w:val="0"/>
          <w:numId w:val="2"/>
        </w:numPr>
        <w:tabs>
          <w:tab w:val="left" w:pos="540"/>
        </w:tabs>
        <w:ind w:left="284" w:hanging="142"/>
        <w:jc w:val="both"/>
        <w:rPr>
          <w:sz w:val="28"/>
        </w:rPr>
      </w:pPr>
      <w:r>
        <w:rPr>
          <w:sz w:val="28"/>
        </w:rPr>
        <w:t>Il Coordinatore evidenzia le principali novità presenti nella bozza, ancora incompleta, del Regolamento Edilizio:</w:t>
      </w:r>
    </w:p>
    <w:p w14:paraId="52DEF5CC" w14:textId="68D22F1F" w:rsidR="00337BA6" w:rsidRDefault="00337BA6" w:rsidP="00337BA6">
      <w:pPr>
        <w:pStyle w:val="Paragrafoelenco"/>
        <w:numPr>
          <w:ilvl w:val="0"/>
          <w:numId w:val="3"/>
        </w:numPr>
        <w:tabs>
          <w:tab w:val="left" w:pos="540"/>
        </w:tabs>
        <w:jc w:val="both"/>
        <w:rPr>
          <w:sz w:val="28"/>
        </w:rPr>
      </w:pPr>
      <w:r>
        <w:rPr>
          <w:sz w:val="28"/>
        </w:rPr>
        <w:t>introduzione della definizione di “uso temporaneo”</w:t>
      </w:r>
    </w:p>
    <w:p w14:paraId="16CA90BB" w14:textId="566A7A20" w:rsidR="00337BA6" w:rsidRDefault="00337BA6" w:rsidP="00337BA6">
      <w:pPr>
        <w:pStyle w:val="Paragrafoelenco"/>
        <w:numPr>
          <w:ilvl w:val="0"/>
          <w:numId w:val="3"/>
        </w:numPr>
        <w:tabs>
          <w:tab w:val="left" w:pos="540"/>
        </w:tabs>
        <w:jc w:val="both"/>
        <w:rPr>
          <w:sz w:val="28"/>
        </w:rPr>
      </w:pPr>
      <w:r>
        <w:rPr>
          <w:sz w:val="28"/>
        </w:rPr>
        <w:t>modalità di calcolo del R.I.E.</w:t>
      </w:r>
    </w:p>
    <w:p w14:paraId="4DDBF4BB" w14:textId="61BBC0F5" w:rsidR="00337BA6" w:rsidRDefault="00337BA6" w:rsidP="00337BA6">
      <w:pPr>
        <w:pStyle w:val="Paragrafoelenco"/>
        <w:numPr>
          <w:ilvl w:val="0"/>
          <w:numId w:val="3"/>
        </w:numPr>
        <w:tabs>
          <w:tab w:val="left" w:pos="540"/>
        </w:tabs>
        <w:jc w:val="both"/>
        <w:rPr>
          <w:sz w:val="28"/>
        </w:rPr>
      </w:pPr>
      <w:r>
        <w:rPr>
          <w:sz w:val="28"/>
        </w:rPr>
        <w:t>definizione dei capitoli e dei contenuti minimi della Relazione economico-finanziaria dell’A.O.</w:t>
      </w:r>
    </w:p>
    <w:p w14:paraId="7A74E70C" w14:textId="69101A13" w:rsidR="00634F64" w:rsidRDefault="00337BA6" w:rsidP="00634F64">
      <w:pPr>
        <w:pStyle w:val="Paragrafoelenco"/>
        <w:tabs>
          <w:tab w:val="left" w:pos="709"/>
        </w:tabs>
        <w:ind w:left="284" w:firstLine="0"/>
        <w:jc w:val="both"/>
        <w:rPr>
          <w:sz w:val="28"/>
        </w:rPr>
      </w:pPr>
      <w:r>
        <w:rPr>
          <w:sz w:val="28"/>
        </w:rPr>
        <w:t xml:space="preserve">Rileva, altresì, </w:t>
      </w:r>
      <w:r w:rsidR="00634F64">
        <w:rPr>
          <w:sz w:val="28"/>
        </w:rPr>
        <w:t xml:space="preserve">la diversità di definizione </w:t>
      </w:r>
      <w:r w:rsidR="00634F64">
        <w:rPr>
          <w:sz w:val="28"/>
        </w:rPr>
        <w:t>dei gruppi di categorie funzional</w:t>
      </w:r>
      <w:r w:rsidR="00634F64">
        <w:rPr>
          <w:sz w:val="28"/>
        </w:rPr>
        <w:t xml:space="preserve">i e del relativo Carico Urbanistico (C.U.) rispetto a quella contenuta nella Delibera di Consiglio Regionale n. 186/2018 sugli OO. UU., evidenziando le conseguenti difficoltà nella monetizzazione delle aree per standard pubblici e delle opere </w:t>
      </w:r>
      <w:r w:rsidR="00634F64">
        <w:rPr>
          <w:sz w:val="28"/>
        </w:rPr>
        <w:t>di</w:t>
      </w:r>
      <w:r w:rsidR="00634F64">
        <w:rPr>
          <w:sz w:val="28"/>
        </w:rPr>
        <w:t xml:space="preserve"> urbanizzazione.</w:t>
      </w:r>
    </w:p>
    <w:p w14:paraId="29C546D6" w14:textId="77777777" w:rsidR="0036498C" w:rsidRDefault="0036498C" w:rsidP="00634F64">
      <w:pPr>
        <w:pStyle w:val="Paragrafoelenco"/>
        <w:tabs>
          <w:tab w:val="left" w:pos="709"/>
        </w:tabs>
        <w:ind w:left="284" w:firstLine="0"/>
        <w:jc w:val="both"/>
        <w:rPr>
          <w:sz w:val="28"/>
        </w:rPr>
      </w:pPr>
    </w:p>
    <w:p w14:paraId="65831496" w14:textId="45B5AABC" w:rsidR="00634F64" w:rsidRDefault="00634F64" w:rsidP="00634F64">
      <w:pPr>
        <w:pStyle w:val="Paragrafoelenco"/>
        <w:tabs>
          <w:tab w:val="left" w:pos="142"/>
        </w:tabs>
        <w:ind w:left="720" w:hanging="578"/>
        <w:jc w:val="both"/>
        <w:rPr>
          <w:sz w:val="28"/>
        </w:rPr>
      </w:pPr>
      <w:r>
        <w:rPr>
          <w:sz w:val="28"/>
        </w:rPr>
        <w:t>4. Infine, il Coordinatore espone alcuni dei temi di interesse professionale che intende affrontare nel corso del mandato</w:t>
      </w:r>
      <w:r w:rsidR="00FE4470">
        <w:rPr>
          <w:sz w:val="28"/>
        </w:rPr>
        <w:t>:</w:t>
      </w:r>
    </w:p>
    <w:p w14:paraId="3DCE51BC" w14:textId="77777777" w:rsidR="00FE4470" w:rsidRPr="00E97476" w:rsidRDefault="00FE4470" w:rsidP="00FE4470">
      <w:pPr>
        <w:pStyle w:val="Corpotesto"/>
        <w:widowControl/>
        <w:numPr>
          <w:ilvl w:val="0"/>
          <w:numId w:val="5"/>
        </w:numPr>
        <w:suppressAutoHyphens/>
        <w:autoSpaceDE/>
        <w:autoSpaceDN/>
        <w:jc w:val="both"/>
      </w:pPr>
      <w:r>
        <w:rPr>
          <w:b/>
          <w:bCs/>
        </w:rPr>
        <w:t>norme di comportamento dell’Ingegnere nominato come Commissario di C.Q.A.P.;</w:t>
      </w:r>
    </w:p>
    <w:p w14:paraId="2F2274C9" w14:textId="77777777" w:rsidR="00FE4470" w:rsidRPr="00E97476" w:rsidRDefault="00FE4470" w:rsidP="00FE4470">
      <w:pPr>
        <w:pStyle w:val="Corpotesto"/>
        <w:widowControl/>
        <w:numPr>
          <w:ilvl w:val="0"/>
          <w:numId w:val="5"/>
        </w:numPr>
        <w:suppressAutoHyphens/>
        <w:autoSpaceDE/>
        <w:autoSpaceDN/>
        <w:jc w:val="both"/>
      </w:pPr>
      <w:r>
        <w:rPr>
          <w:b/>
          <w:bCs/>
        </w:rPr>
        <w:t>l’equo compenso negli incarichi urbanistici;</w:t>
      </w:r>
    </w:p>
    <w:p w14:paraId="57E7148A" w14:textId="77777777" w:rsidR="00FE4470" w:rsidRDefault="00FE4470" w:rsidP="00FE4470">
      <w:pPr>
        <w:pStyle w:val="Corpotesto"/>
        <w:widowControl/>
        <w:numPr>
          <w:ilvl w:val="0"/>
          <w:numId w:val="5"/>
        </w:numPr>
        <w:suppressAutoHyphens/>
        <w:autoSpaceDE/>
        <w:autoSpaceDN/>
        <w:jc w:val="both"/>
        <w:rPr>
          <w:b/>
          <w:bCs/>
        </w:rPr>
      </w:pPr>
      <w:r w:rsidRPr="00FD5324">
        <w:rPr>
          <w:b/>
          <w:bCs/>
        </w:rPr>
        <w:lastRenderedPageBreak/>
        <w:t xml:space="preserve">l’impatto </w:t>
      </w:r>
      <w:r>
        <w:rPr>
          <w:b/>
          <w:bCs/>
        </w:rPr>
        <w:t>sulla sicurezza urbana dei Piani urbanistici e dei Progetti di OO. PP. e delle Attrezzature di interesse collettivo;</w:t>
      </w:r>
    </w:p>
    <w:p w14:paraId="570BE3F3" w14:textId="77777777" w:rsidR="00FE4470" w:rsidRDefault="00FE4470" w:rsidP="00FE4470">
      <w:pPr>
        <w:pStyle w:val="Corpotesto"/>
        <w:widowControl/>
        <w:numPr>
          <w:ilvl w:val="0"/>
          <w:numId w:val="5"/>
        </w:numPr>
        <w:suppressAutoHyphens/>
        <w:autoSpaceDE/>
        <w:autoSpaceDN/>
        <w:jc w:val="both"/>
        <w:rPr>
          <w:b/>
          <w:bCs/>
        </w:rPr>
      </w:pPr>
      <w:r>
        <w:rPr>
          <w:b/>
          <w:bCs/>
        </w:rPr>
        <w:t>il futuro della mobilità urbana ed extraurbana;</w:t>
      </w:r>
    </w:p>
    <w:p w14:paraId="7E34B7BE" w14:textId="77777777" w:rsidR="00FE4470" w:rsidRDefault="00FE4470" w:rsidP="00FE4470">
      <w:pPr>
        <w:pStyle w:val="Corpotesto"/>
        <w:widowControl/>
        <w:numPr>
          <w:ilvl w:val="0"/>
          <w:numId w:val="5"/>
        </w:numPr>
        <w:suppressAutoHyphens/>
        <w:autoSpaceDE/>
        <w:autoSpaceDN/>
        <w:jc w:val="both"/>
        <w:rPr>
          <w:b/>
          <w:bCs/>
        </w:rPr>
      </w:pPr>
      <w:r>
        <w:rPr>
          <w:b/>
          <w:bCs/>
        </w:rPr>
        <w:t>il ruolo dell’Ingegnere all’interno dei progetti ecosostenibili e digitali del Recovery Plan;</w:t>
      </w:r>
    </w:p>
    <w:p w14:paraId="4779E564" w14:textId="77777777" w:rsidR="00FE4470" w:rsidRDefault="00FE4470" w:rsidP="00FE4470">
      <w:pPr>
        <w:pStyle w:val="Corpotesto"/>
        <w:widowControl/>
        <w:numPr>
          <w:ilvl w:val="0"/>
          <w:numId w:val="5"/>
        </w:numPr>
        <w:suppressAutoHyphens/>
        <w:autoSpaceDE/>
        <w:autoSpaceDN/>
        <w:jc w:val="both"/>
        <w:rPr>
          <w:b/>
          <w:bCs/>
        </w:rPr>
      </w:pPr>
      <w:r>
        <w:rPr>
          <w:b/>
          <w:bCs/>
        </w:rPr>
        <w:t xml:space="preserve">nuove </w:t>
      </w:r>
      <w:r w:rsidRPr="0036498C">
        <w:rPr>
          <w:b/>
          <w:bCs/>
          <w:sz w:val="22"/>
          <w:szCs w:val="22"/>
        </w:rPr>
        <w:t>proposte</w:t>
      </w:r>
      <w:r>
        <w:rPr>
          <w:b/>
          <w:bCs/>
        </w:rPr>
        <w:t xml:space="preserve"> di semplificazione e snellimento delle procedure autorizzative edilizie;</w:t>
      </w:r>
    </w:p>
    <w:p w14:paraId="2A62006D" w14:textId="16B5D4D8" w:rsidR="00FE4470" w:rsidRDefault="00FE4470" w:rsidP="00FE4470">
      <w:pPr>
        <w:pStyle w:val="Corpotesto"/>
        <w:widowControl/>
        <w:numPr>
          <w:ilvl w:val="0"/>
          <w:numId w:val="5"/>
        </w:numPr>
        <w:suppressAutoHyphens/>
        <w:autoSpaceDE/>
        <w:autoSpaceDN/>
        <w:jc w:val="both"/>
        <w:rPr>
          <w:b/>
          <w:bCs/>
        </w:rPr>
      </w:pPr>
      <w:r>
        <w:rPr>
          <w:b/>
          <w:bCs/>
        </w:rPr>
        <w:t xml:space="preserve">nuovi strumenti per la difesa del territorio dai disastri ambientali: il fascicolo dell’area edificata o edificabile e il fascicolo del fabbricato. </w:t>
      </w:r>
    </w:p>
    <w:p w14:paraId="58B313EC" w14:textId="77777777" w:rsidR="0036498C" w:rsidRDefault="0036498C" w:rsidP="0036498C">
      <w:pPr>
        <w:pStyle w:val="Corpotesto"/>
        <w:widowControl/>
        <w:suppressAutoHyphens/>
        <w:autoSpaceDE/>
        <w:autoSpaceDN/>
        <w:ind w:left="0"/>
        <w:jc w:val="both"/>
        <w:rPr>
          <w:b/>
          <w:bCs/>
        </w:rPr>
      </w:pPr>
    </w:p>
    <w:p w14:paraId="6563B973" w14:textId="231A50D7" w:rsidR="00FE4470" w:rsidRDefault="00FE4470" w:rsidP="00FE4470">
      <w:pPr>
        <w:pStyle w:val="Paragrafoelenco"/>
        <w:tabs>
          <w:tab w:val="left" w:pos="142"/>
        </w:tabs>
        <w:ind w:left="142" w:firstLine="0"/>
        <w:jc w:val="both"/>
        <w:rPr>
          <w:sz w:val="28"/>
        </w:rPr>
      </w:pPr>
      <w:r>
        <w:rPr>
          <w:sz w:val="28"/>
        </w:rPr>
        <w:t>Si sofferma, in particolare, sulla V.I.S. (Valutazione di impatto sulla sicurezza) dei Piani urbanistici e dei Progetti di OO. PP. e di Attrezzature collettive e comunica che invierà a tutti i Componenti della Commissione il Manuale “Le città sicure” pubblicato con la Casa Editrice Aracne di Roma.</w:t>
      </w:r>
    </w:p>
    <w:p w14:paraId="2DCD80B6" w14:textId="7F249DBA" w:rsidR="009F72EB" w:rsidRDefault="009F72EB">
      <w:pPr>
        <w:pStyle w:val="Corpotesto"/>
        <w:spacing w:before="8"/>
        <w:ind w:left="0"/>
        <w:rPr>
          <w:sz w:val="38"/>
        </w:rPr>
      </w:pPr>
    </w:p>
    <w:p w14:paraId="08EE03DF" w14:textId="1BD22859" w:rsidR="0036498C" w:rsidRDefault="00F6002E" w:rsidP="0036498C">
      <w:pPr>
        <w:pStyle w:val="Corpotesto"/>
        <w:spacing w:line="660" w:lineRule="auto"/>
        <w:ind w:left="4433" w:right="-336"/>
      </w:pPr>
      <w:r>
        <w:t xml:space="preserve">                  </w:t>
      </w:r>
      <w:r w:rsidR="00000000">
        <w:t>Il verbalizzante (</w:t>
      </w:r>
      <w:r>
        <w:t>Pier Giorgio Lell</w:t>
      </w:r>
      <w:r w:rsidR="00000000">
        <w:t>i)</w:t>
      </w:r>
    </w:p>
    <w:p w14:paraId="0F027804" w14:textId="6B1A6E97" w:rsidR="0036498C" w:rsidRDefault="0036498C" w:rsidP="0036498C">
      <w:pPr>
        <w:framePr w:hSpace="180" w:vSpace="180" w:wrap="auto" w:vAnchor="text" w:hAnchor="page" w:x="7582" w:y="1"/>
      </w:pPr>
      <w:r>
        <w:rPr>
          <w:noProof/>
        </w:rPr>
        <w:drawing>
          <wp:inline distT="0" distB="0" distL="0" distR="0" wp14:anchorId="0A057913" wp14:editId="17D6638D">
            <wp:extent cx="1483360" cy="546989"/>
            <wp:effectExtent l="0" t="0" r="254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75" cy="547953"/>
                    </a:xfrm>
                    <a:prstGeom prst="rect">
                      <a:avLst/>
                    </a:prstGeom>
                    <a:noFill/>
                    <a:ln>
                      <a:noFill/>
                    </a:ln>
                  </pic:spPr>
                </pic:pic>
              </a:graphicData>
            </a:graphic>
          </wp:inline>
        </w:drawing>
      </w:r>
    </w:p>
    <w:p w14:paraId="6862A72A" w14:textId="3C111699" w:rsidR="0036498C" w:rsidRDefault="0036498C" w:rsidP="0036498C">
      <w:pPr>
        <w:pStyle w:val="Corpotesto"/>
        <w:spacing w:line="660" w:lineRule="auto"/>
        <w:ind w:left="4433" w:right="-336"/>
      </w:pPr>
      <w:r>
        <w:t xml:space="preserve">                     </w:t>
      </w:r>
    </w:p>
    <w:p w14:paraId="38B28286" w14:textId="77777777" w:rsidR="0036498C" w:rsidRPr="0036498C" w:rsidRDefault="0036498C" w:rsidP="0036498C">
      <w:pPr>
        <w:pStyle w:val="Corpotesto"/>
        <w:ind w:left="4433" w:right="-336"/>
        <w:rPr>
          <w:sz w:val="22"/>
          <w:szCs w:val="22"/>
        </w:rPr>
      </w:pPr>
    </w:p>
    <w:p w14:paraId="5DF67A8F" w14:textId="77777777" w:rsidR="0036498C" w:rsidRPr="0036498C" w:rsidRDefault="0036498C" w:rsidP="0036498C">
      <w:pPr>
        <w:pStyle w:val="Corpotesto"/>
        <w:spacing w:before="216" w:line="660" w:lineRule="auto"/>
        <w:ind w:left="4433" w:right="-336"/>
        <w:rPr>
          <w:sz w:val="22"/>
          <w:szCs w:val="22"/>
        </w:rPr>
      </w:pPr>
    </w:p>
    <w:p w14:paraId="4BB4C603" w14:textId="77777777" w:rsidR="0036498C" w:rsidRDefault="0036498C" w:rsidP="0036498C">
      <w:pPr>
        <w:pStyle w:val="Corpotesto"/>
        <w:spacing w:before="216" w:line="660" w:lineRule="auto"/>
        <w:ind w:left="4433" w:right="-336"/>
      </w:pPr>
    </w:p>
    <w:sectPr w:rsidR="0036498C">
      <w:pgSz w:w="1191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15E"/>
    <w:multiLevelType w:val="hybridMultilevel"/>
    <w:tmpl w:val="07BACE68"/>
    <w:lvl w:ilvl="0" w:tplc="21647D84">
      <w:start w:val="1"/>
      <w:numFmt w:val="decimal"/>
      <w:lvlText w:val="%1."/>
      <w:lvlJc w:val="left"/>
      <w:pPr>
        <w:ind w:left="540" w:hanging="426"/>
      </w:pPr>
      <w:rPr>
        <w:rFonts w:ascii="Arial" w:eastAsia="Arial" w:hAnsi="Arial" w:cs="Arial" w:hint="default"/>
        <w:b w:val="0"/>
        <w:bCs w:val="0"/>
        <w:i w:val="0"/>
        <w:iCs w:val="0"/>
        <w:w w:val="99"/>
        <w:sz w:val="28"/>
        <w:szCs w:val="28"/>
        <w:lang w:val="it-IT" w:eastAsia="en-US" w:bidi="ar-SA"/>
      </w:rPr>
    </w:lvl>
    <w:lvl w:ilvl="1" w:tplc="A17C92F6">
      <w:numFmt w:val="bullet"/>
      <w:lvlText w:val=""/>
      <w:lvlJc w:val="left"/>
      <w:pPr>
        <w:ind w:left="834" w:hanging="361"/>
      </w:pPr>
      <w:rPr>
        <w:rFonts w:ascii="Symbol" w:eastAsia="Symbol" w:hAnsi="Symbol" w:cs="Symbol" w:hint="default"/>
        <w:b w:val="0"/>
        <w:bCs w:val="0"/>
        <w:i w:val="0"/>
        <w:iCs w:val="0"/>
        <w:w w:val="99"/>
        <w:sz w:val="28"/>
        <w:szCs w:val="28"/>
        <w:lang w:val="it-IT" w:eastAsia="en-US" w:bidi="ar-SA"/>
      </w:rPr>
    </w:lvl>
    <w:lvl w:ilvl="2" w:tplc="5D9802DC">
      <w:numFmt w:val="bullet"/>
      <w:lvlText w:val="•"/>
      <w:lvlJc w:val="left"/>
      <w:pPr>
        <w:ind w:left="1842" w:hanging="361"/>
      </w:pPr>
      <w:rPr>
        <w:rFonts w:hint="default"/>
        <w:lang w:val="it-IT" w:eastAsia="en-US" w:bidi="ar-SA"/>
      </w:rPr>
    </w:lvl>
    <w:lvl w:ilvl="3" w:tplc="1A626A4A">
      <w:numFmt w:val="bullet"/>
      <w:lvlText w:val="•"/>
      <w:lvlJc w:val="left"/>
      <w:pPr>
        <w:ind w:left="2845" w:hanging="361"/>
      </w:pPr>
      <w:rPr>
        <w:rFonts w:hint="default"/>
        <w:lang w:val="it-IT" w:eastAsia="en-US" w:bidi="ar-SA"/>
      </w:rPr>
    </w:lvl>
    <w:lvl w:ilvl="4" w:tplc="F978317C">
      <w:numFmt w:val="bullet"/>
      <w:lvlText w:val="•"/>
      <w:lvlJc w:val="left"/>
      <w:pPr>
        <w:ind w:left="3848" w:hanging="361"/>
      </w:pPr>
      <w:rPr>
        <w:rFonts w:hint="default"/>
        <w:lang w:val="it-IT" w:eastAsia="en-US" w:bidi="ar-SA"/>
      </w:rPr>
    </w:lvl>
    <w:lvl w:ilvl="5" w:tplc="CF0C8C74">
      <w:numFmt w:val="bullet"/>
      <w:lvlText w:val="•"/>
      <w:lvlJc w:val="left"/>
      <w:pPr>
        <w:ind w:left="4850" w:hanging="361"/>
      </w:pPr>
      <w:rPr>
        <w:rFonts w:hint="default"/>
        <w:lang w:val="it-IT" w:eastAsia="en-US" w:bidi="ar-SA"/>
      </w:rPr>
    </w:lvl>
    <w:lvl w:ilvl="6" w:tplc="B46E8FBC">
      <w:numFmt w:val="bullet"/>
      <w:lvlText w:val="•"/>
      <w:lvlJc w:val="left"/>
      <w:pPr>
        <w:ind w:left="5853" w:hanging="361"/>
      </w:pPr>
      <w:rPr>
        <w:rFonts w:hint="default"/>
        <w:lang w:val="it-IT" w:eastAsia="en-US" w:bidi="ar-SA"/>
      </w:rPr>
    </w:lvl>
    <w:lvl w:ilvl="7" w:tplc="834A34E0">
      <w:numFmt w:val="bullet"/>
      <w:lvlText w:val="•"/>
      <w:lvlJc w:val="left"/>
      <w:pPr>
        <w:ind w:left="6856" w:hanging="361"/>
      </w:pPr>
      <w:rPr>
        <w:rFonts w:hint="default"/>
        <w:lang w:val="it-IT" w:eastAsia="en-US" w:bidi="ar-SA"/>
      </w:rPr>
    </w:lvl>
    <w:lvl w:ilvl="8" w:tplc="D568A6C8">
      <w:numFmt w:val="bullet"/>
      <w:lvlText w:val="•"/>
      <w:lvlJc w:val="left"/>
      <w:pPr>
        <w:ind w:left="7858" w:hanging="361"/>
      </w:pPr>
      <w:rPr>
        <w:rFonts w:hint="default"/>
        <w:lang w:val="it-IT" w:eastAsia="en-US" w:bidi="ar-SA"/>
      </w:rPr>
    </w:lvl>
  </w:abstractNum>
  <w:abstractNum w:abstractNumId="1" w15:restartNumberingAfterBreak="0">
    <w:nsid w:val="221A7B0F"/>
    <w:multiLevelType w:val="hybridMultilevel"/>
    <w:tmpl w:val="6D40B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315DC6"/>
    <w:multiLevelType w:val="hybridMultilevel"/>
    <w:tmpl w:val="548E55E0"/>
    <w:lvl w:ilvl="0" w:tplc="ACF2721E">
      <w:start w:val="1"/>
      <w:numFmt w:val="bullet"/>
      <w:lvlText w:val="-"/>
      <w:lvlJc w:val="left"/>
      <w:pPr>
        <w:ind w:left="644" w:hanging="360"/>
      </w:pPr>
      <w:rPr>
        <w:rFonts w:ascii="Arial" w:eastAsia="Arial"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46327BD"/>
    <w:multiLevelType w:val="hybridMultilevel"/>
    <w:tmpl w:val="5484E3C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D8032FD"/>
    <w:multiLevelType w:val="hybridMultilevel"/>
    <w:tmpl w:val="95488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5888212">
    <w:abstractNumId w:val="0"/>
  </w:num>
  <w:num w:numId="2" w16cid:durableId="1260799399">
    <w:abstractNumId w:val="4"/>
  </w:num>
  <w:num w:numId="3" w16cid:durableId="1441877432">
    <w:abstractNumId w:val="2"/>
  </w:num>
  <w:num w:numId="4" w16cid:durableId="250041461">
    <w:abstractNumId w:val="3"/>
  </w:num>
  <w:num w:numId="5" w16cid:durableId="2105684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EB"/>
    <w:rsid w:val="00337BA6"/>
    <w:rsid w:val="0036498C"/>
    <w:rsid w:val="00540D6E"/>
    <w:rsid w:val="00634F64"/>
    <w:rsid w:val="009F72EB"/>
    <w:rsid w:val="00F6002E"/>
    <w:rsid w:val="00FE4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71FC"/>
  <w15:docId w15:val="{63D4B1CE-A861-4096-9B18-CA0AB63D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217"/>
      <w:ind w:left="113"/>
      <w:jc w:val="both"/>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28"/>
      <w:szCs w:val="28"/>
    </w:rPr>
  </w:style>
  <w:style w:type="paragraph" w:styleId="Titolo">
    <w:name w:val="Title"/>
    <w:basedOn w:val="Normale"/>
    <w:uiPriority w:val="10"/>
    <w:qFormat/>
    <w:pPr>
      <w:spacing w:before="76"/>
      <w:ind w:left="3020" w:hanging="2289"/>
    </w:pPr>
    <w:rPr>
      <w:sz w:val="40"/>
      <w:szCs w:val="40"/>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3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- 150415 Verbale incontro.docx</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- 150415 Verbale incontro.docx</dc:title>
  <dc:creator>PC0044</dc:creator>
  <cp:lastModifiedBy>Pier Giorgio Lelli</cp:lastModifiedBy>
  <cp:revision>3</cp:revision>
  <dcterms:created xsi:type="dcterms:W3CDTF">2023-01-15T15:35:00Z</dcterms:created>
  <dcterms:modified xsi:type="dcterms:W3CDTF">2023-01-15T15:39:00Z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PScript5.dll Version 5.2.2</vt:lpwstr>
  </property>
  <property fmtid="{D5CDD505-2E9C-101B-9397-08002B2CF9AE}" pid="4" name="LastSaved">
    <vt:filetime>2023-01-15T00:00:00Z</vt:filetime>
  </property>
  <property fmtid="{D5CDD505-2E9C-101B-9397-08002B2CF9AE}" pid="5" name="Producer">
    <vt:lpwstr>Acrobat Distiller 9.0.0 (Windows)</vt:lpwstr>
  </property>
</Properties>
</file>